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E2ED2">
      <w:pPr>
        <w:pStyle w:val="2"/>
        <w:spacing w:after="0" w:line="360" w:lineRule="auto"/>
        <w:jc w:val="center"/>
        <w:rPr>
          <w:rFonts w:hint="eastAsia"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高性能深度学习计算GPU服务器</w:t>
      </w:r>
    </w:p>
    <w:p w14:paraId="55B703A2">
      <w:pPr>
        <w:pStyle w:val="2"/>
        <w:spacing w:after="0" w:line="360" w:lineRule="auto"/>
        <w:jc w:val="center"/>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采购调研公告</w:t>
      </w:r>
    </w:p>
    <w:p w14:paraId="6913336B">
      <w:pPr>
        <w:widowControl/>
        <w:shd w:val="clear" w:color="auto" w:fill="FFFFFF"/>
        <w:adjustRightInd w:val="0"/>
        <w:snapToGrid w:val="0"/>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5DF4BE7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0A87A59">
            <w:pPr>
              <w:pStyle w:val="8"/>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A6A6013">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0D8FE99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13D093F">
            <w:pPr>
              <w:widowControl/>
              <w:spacing w:after="0"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D987A12">
            <w:pPr>
              <w:widowControl/>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项目名称：高性能深度学习计算GPU服务器</w:t>
            </w:r>
          </w:p>
        </w:tc>
      </w:tr>
      <w:tr w14:paraId="0F6C647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5022D96">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F9BAF82">
            <w:pPr>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2026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4</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16</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4</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22</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14:paraId="32A8C3CD">
            <w:pPr>
              <w:widowControl/>
              <w:spacing w:after="0"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2026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4</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23</w:t>
            </w:r>
            <w:r>
              <w:rPr>
                <w:rFonts w:hint="eastAsia" w:ascii="仿宋_GB2312" w:hAnsi="仿宋_GB2312" w:eastAsia="仿宋_GB2312" w:cs="仿宋_GB2312"/>
                <w:color w:val="000000"/>
                <w:kern w:val="0"/>
                <w:sz w:val="32"/>
                <w:szCs w:val="32"/>
              </w:rPr>
              <w:t>日 14:30</w:t>
            </w:r>
          </w:p>
        </w:tc>
      </w:tr>
      <w:tr w14:paraId="0C216CF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561C24">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E8269CC">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lang w:val="en-US" w:eastAsia="zh-CN"/>
              </w:rPr>
              <w:t>叁</w:t>
            </w:r>
            <w:r>
              <w:rPr>
                <w:rFonts w:hint="eastAsia" w:ascii="仿宋_GB2312" w:hAnsi="仿宋_GB2312" w:eastAsia="仿宋_GB2312" w:cs="仿宋_GB2312"/>
                <w:color w:val="000000"/>
                <w:sz w:val="32"/>
                <w:szCs w:val="32"/>
              </w:rPr>
              <w:t>份胶装并密封加盖投标人公章。文件未胶装将视为无效。</w:t>
            </w:r>
          </w:p>
        </w:tc>
      </w:tr>
      <w:tr w14:paraId="7945871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95ECA06">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793726">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4F82A61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B5C78D6">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59490C5">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56850F7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22B8A7D">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B6CC317">
            <w:pPr>
              <w:widowControl/>
              <w:shd w:val="clear" w:color="auto" w:fill="FFFFFF"/>
              <w:adjustRightInd w:val="0"/>
              <w:snapToGrid w:val="0"/>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49B008D9">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01504FE4">
      <w:pPr>
        <w:widowControl/>
        <w:shd w:val="clear" w:color="auto" w:fill="FFFFFF"/>
        <w:spacing w:after="0"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01159641">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3431E679">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79639165">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联系人：钱工、郑工</w:t>
      </w:r>
    </w:p>
    <w:p w14:paraId="7BCDD4A6">
      <w:pPr>
        <w:pStyle w:val="13"/>
        <w:spacing w:after="0" w:line="360" w:lineRule="auto"/>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2263DDC4">
      <w:pPr>
        <w:widowControl/>
        <w:shd w:val="clear" w:color="auto" w:fill="FFFFFF"/>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3"/>
        <w:gridCol w:w="4242"/>
        <w:gridCol w:w="1590"/>
        <w:gridCol w:w="1894"/>
      </w:tblGrid>
      <w:tr w14:paraId="1F5E4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33" w:type="dxa"/>
            <w:vAlign w:val="center"/>
          </w:tcPr>
          <w:p w14:paraId="49124CCB">
            <w:pPr>
              <w:widowControl/>
              <w:spacing w:after="0" w:line="360" w:lineRule="auto"/>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4242" w:type="dxa"/>
            <w:vAlign w:val="center"/>
          </w:tcPr>
          <w:p w14:paraId="11205DB6">
            <w:pPr>
              <w:widowControl/>
              <w:spacing w:after="0"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590" w:type="dxa"/>
            <w:vAlign w:val="center"/>
          </w:tcPr>
          <w:p w14:paraId="59092A18">
            <w:pPr>
              <w:widowControl/>
              <w:spacing w:after="0"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894" w:type="dxa"/>
            <w:vAlign w:val="center"/>
          </w:tcPr>
          <w:p w14:paraId="7A1BAA22">
            <w:pPr>
              <w:widowControl/>
              <w:spacing w:after="0"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14:paraId="75912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exact"/>
        </w:trPr>
        <w:tc>
          <w:tcPr>
            <w:tcW w:w="1633" w:type="dxa"/>
            <w:vAlign w:val="center"/>
          </w:tcPr>
          <w:p w14:paraId="228273B3">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4242" w:type="dxa"/>
            <w:vAlign w:val="center"/>
          </w:tcPr>
          <w:p w14:paraId="77CF76CA">
            <w:pPr>
              <w:spacing w:after="0" w:line="360" w:lineRule="auto"/>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28"/>
                <w:szCs w:val="28"/>
              </w:rPr>
              <w:t>高性能深度学习计算GPU服务器</w:t>
            </w:r>
          </w:p>
        </w:tc>
        <w:tc>
          <w:tcPr>
            <w:tcW w:w="1590" w:type="dxa"/>
            <w:vAlign w:val="center"/>
          </w:tcPr>
          <w:p w14:paraId="10342D14">
            <w:pPr>
              <w:autoSpaceDN w:val="0"/>
              <w:spacing w:after="0" w:line="360" w:lineRule="auto"/>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1套</w:t>
            </w:r>
          </w:p>
        </w:tc>
        <w:tc>
          <w:tcPr>
            <w:tcW w:w="1894" w:type="dxa"/>
            <w:vAlign w:val="center"/>
          </w:tcPr>
          <w:p w14:paraId="6EF4DD63">
            <w:pPr>
              <w:autoSpaceDN w:val="0"/>
              <w:spacing w:after="0" w:line="360" w:lineRule="auto"/>
              <w:jc w:val="center"/>
              <w:textAlignment w:val="center"/>
              <w:rPr>
                <w:rFonts w:hint="default" w:ascii="仿宋_GB2312" w:hAnsi="仿宋_GB2312" w:eastAsia="仿宋_GB2312" w:cs="仿宋_GB2312"/>
                <w:kern w:val="0"/>
                <w:sz w:val="32"/>
                <w:szCs w:val="32"/>
                <w:lang w:val="en-US" w:eastAsia="zh-CN"/>
              </w:rPr>
            </w:pPr>
            <w:bookmarkStart w:id="0" w:name="_GoBack"/>
            <w:bookmarkEnd w:id="0"/>
            <w:r>
              <w:rPr>
                <w:rFonts w:hint="eastAsia" w:ascii="仿宋_GB2312" w:hAnsi="仿宋_GB2312" w:eastAsia="仿宋_GB2312" w:cs="仿宋_GB2312"/>
                <w:color w:val="000000"/>
                <w:sz w:val="32"/>
                <w:szCs w:val="32"/>
                <w:lang w:val="en-US" w:eastAsia="zh-CN"/>
              </w:rPr>
              <w:t>80</w:t>
            </w:r>
          </w:p>
        </w:tc>
      </w:tr>
    </w:tbl>
    <w:p w14:paraId="1E77E032"/>
    <w:p w14:paraId="714C6733">
      <w:pPr>
        <w:keepNext/>
        <w:widowControl/>
        <w:numPr>
          <w:ilvl w:val="0"/>
          <w:numId w:val="1"/>
        </w:numPr>
        <w:shd w:val="clear" w:color="auto" w:fill="FFFFFF"/>
        <w:autoSpaceDE w:val="0"/>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技术功能及服务要求</w:t>
      </w:r>
    </w:p>
    <w:tbl>
      <w:tblPr>
        <w:tblStyle w:val="1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9"/>
        <w:gridCol w:w="947"/>
        <w:gridCol w:w="7230"/>
        <w:gridCol w:w="567"/>
      </w:tblGrid>
      <w:tr w14:paraId="702B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9" w:type="dxa"/>
            <w:shd w:val="clear" w:color="auto" w:fill="D8D8D8" w:themeFill="background1" w:themeFillShade="D9"/>
            <w:vAlign w:val="center"/>
          </w:tcPr>
          <w:p w14:paraId="1B200265">
            <w:pPr>
              <w:rPr>
                <w:rFonts w:hint="eastAsia" w:ascii="仿宋" w:hAnsi="仿宋" w:eastAsia="仿宋" w:cs="仿宋"/>
                <w:b/>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b/>
                <w:color w:val="0D0D0D" w:themeColor="text1" w:themeTint="F2"/>
                <w:sz w:val="24"/>
                <w14:textFill>
                  <w14:solidFill>
                    <w14:schemeClr w14:val="tx1">
                      <w14:lumMod w14:val="95000"/>
                      <w14:lumOff w14:val="5000"/>
                    </w14:schemeClr>
                  </w14:solidFill>
                </w14:textFill>
              </w:rPr>
              <w:t>模块/功能</w:t>
            </w:r>
          </w:p>
        </w:tc>
        <w:tc>
          <w:tcPr>
            <w:tcW w:w="947" w:type="dxa"/>
            <w:shd w:val="clear" w:color="auto" w:fill="D8D8D8" w:themeFill="background1" w:themeFillShade="D9"/>
            <w:vAlign w:val="center"/>
          </w:tcPr>
          <w:p w14:paraId="3608A1B4">
            <w:pPr>
              <w:jc w:val="center"/>
              <w:rPr>
                <w:rFonts w:hint="eastAsia" w:ascii="仿宋" w:hAnsi="仿宋" w:eastAsia="仿宋" w:cs="仿宋"/>
                <w:b/>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b/>
                <w:color w:val="0D0D0D" w:themeColor="text1" w:themeTint="F2"/>
                <w:sz w:val="24"/>
                <w14:textFill>
                  <w14:solidFill>
                    <w14:schemeClr w14:val="tx1">
                      <w14:lumMod w14:val="95000"/>
                      <w14:lumOff w14:val="5000"/>
                    </w14:schemeClr>
                  </w14:solidFill>
                </w14:textFill>
              </w:rPr>
              <w:t>子功能</w:t>
            </w:r>
          </w:p>
        </w:tc>
        <w:tc>
          <w:tcPr>
            <w:tcW w:w="7230" w:type="dxa"/>
            <w:shd w:val="clear" w:color="auto" w:fill="D8D8D8" w:themeFill="background1" w:themeFillShade="D9"/>
            <w:vAlign w:val="center"/>
          </w:tcPr>
          <w:p w14:paraId="04303509">
            <w:pPr>
              <w:tabs>
                <w:tab w:val="right" w:pos="8572"/>
              </w:tabs>
              <w:jc w:val="center"/>
              <w:rPr>
                <w:rFonts w:hint="eastAsia" w:ascii="仿宋" w:hAnsi="仿宋" w:eastAsia="仿宋" w:cs="仿宋"/>
                <w:b/>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b/>
                <w:color w:val="0D0D0D" w:themeColor="text1" w:themeTint="F2"/>
                <w:sz w:val="24"/>
                <w14:textFill>
                  <w14:solidFill>
                    <w14:schemeClr w14:val="tx1">
                      <w14:lumMod w14:val="95000"/>
                      <w14:lumOff w14:val="5000"/>
                    </w14:schemeClr>
                  </w14:solidFill>
                </w14:textFill>
              </w:rPr>
              <w:t>规格及技术指标</w:t>
            </w:r>
          </w:p>
        </w:tc>
        <w:tc>
          <w:tcPr>
            <w:tcW w:w="567" w:type="dxa"/>
            <w:shd w:val="clear" w:color="auto" w:fill="D8D8D8" w:themeFill="background1" w:themeFillShade="D9"/>
            <w:vAlign w:val="center"/>
          </w:tcPr>
          <w:p w14:paraId="486F480D">
            <w:pPr>
              <w:tabs>
                <w:tab w:val="right" w:pos="8572"/>
              </w:tabs>
              <w:rPr>
                <w:rFonts w:hint="eastAsia" w:ascii="仿宋" w:hAnsi="仿宋" w:eastAsia="仿宋" w:cs="仿宋"/>
                <w:b/>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b/>
                <w:color w:val="0D0D0D" w:themeColor="text1" w:themeTint="F2"/>
                <w:sz w:val="24"/>
                <w14:textFill>
                  <w14:solidFill>
                    <w14:schemeClr w14:val="tx1">
                      <w14:lumMod w14:val="95000"/>
                      <w14:lumOff w14:val="5000"/>
                    </w14:schemeClr>
                  </w14:solidFill>
                </w14:textFill>
              </w:rPr>
              <w:t>备注</w:t>
            </w:r>
          </w:p>
        </w:tc>
      </w:tr>
      <w:tr w14:paraId="2595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9" w:type="dxa"/>
            <w:vMerge w:val="restart"/>
          </w:tcPr>
          <w:p w14:paraId="61382B26">
            <w:pPr>
              <w:rPr>
                <w:rFonts w:hint="eastAsia" w:ascii="仿宋" w:hAnsi="仿宋" w:eastAsia="仿宋" w:cs="仿宋"/>
                <w:b/>
                <w:sz w:val="24"/>
              </w:rPr>
            </w:pPr>
            <w:r>
              <w:rPr>
                <w:rFonts w:hint="eastAsia" w:ascii="仿宋" w:hAnsi="仿宋" w:eastAsia="仿宋" w:cs="仿宋"/>
                <w:b/>
                <w:color w:val="000000" w:themeColor="text1"/>
                <w:sz w:val="28"/>
                <w:szCs w:val="28"/>
                <w14:textFill>
                  <w14:solidFill>
                    <w14:schemeClr w14:val="tx1"/>
                  </w14:solidFill>
                </w14:textFill>
              </w:rPr>
              <w:t>1.高性能深度学习计算GPU服务器</w:t>
            </w:r>
          </w:p>
        </w:tc>
        <w:tc>
          <w:tcPr>
            <w:tcW w:w="947" w:type="dxa"/>
          </w:tcPr>
          <w:p w14:paraId="42DC28FF">
            <w:pPr>
              <w:rPr>
                <w:rFonts w:hint="eastAsia" w:ascii="仿宋" w:hAnsi="仿宋" w:eastAsia="仿宋" w:cs="仿宋"/>
                <w:szCs w:val="21"/>
              </w:rPr>
            </w:pPr>
            <w:r>
              <w:rPr>
                <w:rFonts w:hint="eastAsia" w:ascii="仿宋" w:hAnsi="仿宋" w:eastAsia="仿宋" w:cs="仿宋"/>
                <w:b/>
                <w:bCs/>
                <w:sz w:val="24"/>
              </w:rPr>
              <w:t>1.1 GPU服务器硬件参数</w:t>
            </w:r>
          </w:p>
        </w:tc>
        <w:tc>
          <w:tcPr>
            <w:tcW w:w="7230" w:type="dxa"/>
          </w:tcPr>
          <w:p w14:paraId="131D9076">
            <w:pPr>
              <w:numPr>
                <w:ilvl w:val="0"/>
                <w:numId w:val="2"/>
              </w:numPr>
              <w:spacing w:after="0" w:line="300" w:lineRule="auto"/>
              <w:ind w:left="0" w:firstLine="0"/>
              <w:rPr>
                <w:rFonts w:hint="eastAsia" w:ascii="宋体" w:hAnsi="宋体" w:cs="宋体"/>
              </w:rPr>
            </w:pPr>
            <w:r>
              <w:rPr>
                <w:rFonts w:hint="eastAsia" w:ascii="宋体" w:hAnsi="宋体" w:cs="宋体"/>
              </w:rPr>
              <w:t>机箱：≥4U标准机架式</w:t>
            </w:r>
          </w:p>
          <w:p w14:paraId="703BBFD4">
            <w:pPr>
              <w:numPr>
                <w:ilvl w:val="0"/>
                <w:numId w:val="2"/>
              </w:numPr>
              <w:spacing w:after="0" w:line="300" w:lineRule="auto"/>
              <w:ind w:left="0" w:firstLine="0"/>
              <w:rPr>
                <w:rFonts w:hint="eastAsia" w:ascii="宋体" w:hAnsi="宋体" w:cs="宋体"/>
              </w:rPr>
            </w:pPr>
            <w:r>
              <w:rPr>
                <w:rFonts w:hint="eastAsia" w:ascii="宋体" w:hAnsi="宋体" w:cs="宋体"/>
              </w:rPr>
              <w:t>CPU：≥2颗国产C86架构CPU，每颗CPU核心数≥32核且线程数≥64，CPU主频≥2.2G；</w:t>
            </w:r>
          </w:p>
          <w:p w14:paraId="3F3B145D">
            <w:pPr>
              <w:numPr>
                <w:ilvl w:val="0"/>
                <w:numId w:val="2"/>
              </w:numPr>
              <w:spacing w:after="0" w:line="300" w:lineRule="auto"/>
              <w:ind w:left="0" w:firstLine="0"/>
              <w:rPr>
                <w:rFonts w:hint="eastAsia" w:ascii="宋体" w:hAnsi="宋体" w:cs="宋体"/>
              </w:rPr>
            </w:pPr>
            <w:r>
              <w:rPr>
                <w:rFonts w:hint="eastAsia" w:ascii="宋体" w:hAnsi="宋体" w:cs="宋体"/>
              </w:rPr>
              <w:t>内存：支持≥24个DDR5内存插槽，≥512GB DDR5内存</w:t>
            </w:r>
          </w:p>
          <w:p w14:paraId="58890070">
            <w:pPr>
              <w:numPr>
                <w:ilvl w:val="0"/>
                <w:numId w:val="2"/>
              </w:numPr>
              <w:spacing w:after="0" w:line="300" w:lineRule="auto"/>
              <w:ind w:left="0" w:firstLine="0"/>
              <w:rPr>
                <w:rFonts w:hint="eastAsia" w:ascii="宋体" w:hAnsi="宋体" w:cs="宋体"/>
              </w:rPr>
            </w:pPr>
            <w:r>
              <w:rPr>
                <w:rFonts w:hint="eastAsia" w:ascii="宋体" w:hAnsi="宋体" w:cs="宋体"/>
              </w:rPr>
              <w:t>PCIE插槽：最大支持12个标准PCIe 5.0 x16扩展插槽，最高支持8个GPU加速卡，总FP16算力不小于560 TFLOPS，总显存不低于256 GB。</w:t>
            </w:r>
          </w:p>
          <w:p w14:paraId="1AE29B90">
            <w:pPr>
              <w:numPr>
                <w:ilvl w:val="0"/>
                <w:numId w:val="2"/>
              </w:numPr>
              <w:spacing w:after="0" w:line="300" w:lineRule="auto"/>
              <w:ind w:left="0" w:firstLine="0"/>
              <w:rPr>
                <w:rFonts w:hint="eastAsia" w:ascii="宋体" w:hAnsi="宋体" w:cs="宋体"/>
              </w:rPr>
            </w:pPr>
            <w:r>
              <w:rPr>
                <w:rFonts w:hint="eastAsia" w:ascii="宋体" w:hAnsi="宋体" w:cs="宋体"/>
              </w:rPr>
              <w:t>存储：≥24×“2.5/3.5”SAS/SATA或最高支持16×“2.5”NVMe U.2 SSD。配置≥2块960GB SSD硬盘，≥4块3.84TB NVMe SSD硬盘；≥2个板载 M.2 SSD。</w:t>
            </w:r>
          </w:p>
          <w:p w14:paraId="027692BF">
            <w:pPr>
              <w:numPr>
                <w:ilvl w:val="0"/>
                <w:numId w:val="2"/>
              </w:numPr>
              <w:spacing w:after="0" w:line="300" w:lineRule="auto"/>
              <w:ind w:left="0" w:firstLine="0"/>
              <w:rPr>
                <w:rFonts w:hint="eastAsia" w:ascii="宋体" w:hAnsi="宋体" w:cs="宋体"/>
              </w:rPr>
            </w:pPr>
            <w:r>
              <w:rPr>
                <w:rFonts w:hint="eastAsia" w:ascii="宋体" w:hAnsi="宋体" w:cs="宋体"/>
              </w:rPr>
              <w:t>网络：≥2个RJ45 1000M网口，≥2*25GE端口（满配25G多模光模块），≥2个10GE端口（满配多模光模块），支持标准PCIe网卡。</w:t>
            </w:r>
          </w:p>
          <w:p w14:paraId="19E85C0A">
            <w:pPr>
              <w:numPr>
                <w:ilvl w:val="0"/>
                <w:numId w:val="2"/>
              </w:numPr>
              <w:spacing w:after="0" w:line="300" w:lineRule="auto"/>
              <w:ind w:left="0" w:firstLine="0"/>
              <w:rPr>
                <w:rFonts w:hint="eastAsia" w:ascii="宋体" w:hAnsi="宋体" w:cs="宋体"/>
              </w:rPr>
            </w:pPr>
            <w:r>
              <w:rPr>
                <w:rFonts w:hint="eastAsia" w:ascii="宋体" w:hAnsi="宋体" w:cs="宋体"/>
              </w:rPr>
              <w:t>I/O接口：≥2个VGA接口，≥4个USB 接口，≥1 个 RJ-45 管理接口，支持常用管理串口。</w:t>
            </w:r>
          </w:p>
          <w:p w14:paraId="021FBD63">
            <w:pPr>
              <w:numPr>
                <w:ilvl w:val="0"/>
                <w:numId w:val="2"/>
              </w:numPr>
              <w:spacing w:after="0" w:line="300" w:lineRule="auto"/>
              <w:ind w:left="0" w:firstLine="0"/>
              <w:rPr>
                <w:rFonts w:hint="eastAsia" w:ascii="宋体" w:hAnsi="宋体" w:cs="宋体"/>
              </w:rPr>
            </w:pPr>
            <w:r>
              <w:rPr>
                <w:rFonts w:hint="eastAsia" w:ascii="宋体" w:hAnsi="宋体" w:cs="宋体"/>
              </w:rPr>
              <w:t>电源：支持3+1或2+2冗余，支持2700W/3200W CRPS 高效电源，总功率满足满配系统电力需求。</w:t>
            </w:r>
          </w:p>
        </w:tc>
        <w:tc>
          <w:tcPr>
            <w:tcW w:w="567" w:type="dxa"/>
          </w:tcPr>
          <w:p w14:paraId="16B1299A">
            <w:pPr>
              <w:jc w:val="left"/>
              <w:rPr>
                <w:rFonts w:hint="eastAsia" w:ascii="仿宋" w:hAnsi="仿宋" w:eastAsia="仿宋" w:cs="仿宋"/>
                <w:sz w:val="24"/>
              </w:rPr>
            </w:pPr>
          </w:p>
        </w:tc>
      </w:tr>
      <w:tr w14:paraId="5F0B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9" w:type="dxa"/>
            <w:vMerge w:val="continue"/>
          </w:tcPr>
          <w:p w14:paraId="7C0CDC7F">
            <w:pPr>
              <w:rPr>
                <w:rFonts w:hint="eastAsia" w:ascii="仿宋" w:hAnsi="仿宋" w:eastAsia="仿宋" w:cs="仿宋"/>
                <w:b/>
              </w:rPr>
            </w:pPr>
          </w:p>
        </w:tc>
        <w:tc>
          <w:tcPr>
            <w:tcW w:w="947" w:type="dxa"/>
          </w:tcPr>
          <w:p w14:paraId="1474002E">
            <w:pPr>
              <w:rPr>
                <w:rFonts w:hint="eastAsia" w:ascii="仿宋" w:hAnsi="仿宋" w:eastAsia="仿宋" w:cs="仿宋"/>
                <w:szCs w:val="21"/>
              </w:rPr>
            </w:pPr>
            <w:r>
              <w:rPr>
                <w:rFonts w:hint="eastAsia" w:ascii="仿宋" w:hAnsi="仿宋" w:eastAsia="仿宋" w:cs="仿宋"/>
                <w:b/>
                <w:bCs/>
                <w:sz w:val="24"/>
              </w:rPr>
              <w:t>1.2管理软件</w:t>
            </w:r>
          </w:p>
        </w:tc>
        <w:tc>
          <w:tcPr>
            <w:tcW w:w="7230" w:type="dxa"/>
          </w:tcPr>
          <w:p w14:paraId="0A1A90E7">
            <w:pPr>
              <w:numPr>
                <w:ilvl w:val="0"/>
                <w:numId w:val="3"/>
              </w:numPr>
              <w:spacing w:after="0" w:line="300" w:lineRule="auto"/>
              <w:ind w:left="0" w:firstLine="0"/>
              <w:rPr>
                <w:rFonts w:hint="eastAsia" w:ascii="宋体" w:hAnsi="宋体" w:cs="宋体"/>
              </w:rPr>
            </w:pPr>
            <w:r>
              <w:rPr>
                <w:rFonts w:hint="eastAsia" w:ascii="宋体" w:hAnsi="宋体" w:cs="宋体"/>
              </w:rPr>
              <w:t>管理软件嵌入服务器主板的独立硬件管理系统，独立于主 CPU、操作系统运行，只要服务器通电即可工作；</w:t>
            </w:r>
          </w:p>
          <w:p w14:paraId="4137AAEB">
            <w:pPr>
              <w:numPr>
                <w:ilvl w:val="0"/>
                <w:numId w:val="3"/>
              </w:numPr>
              <w:spacing w:after="0" w:line="300" w:lineRule="auto"/>
              <w:ind w:left="0" w:firstLine="0"/>
              <w:rPr>
                <w:rFonts w:hint="eastAsia" w:ascii="宋体" w:hAnsi="宋体" w:cs="宋体"/>
              </w:rPr>
            </w:pPr>
            <w:r>
              <w:rPr>
                <w:rFonts w:hint="eastAsia" w:ascii="宋体" w:hAnsi="宋体" w:cs="宋体"/>
              </w:rPr>
              <w:t>设备自带服务器管理软件，远程控制，允许用户在服务器上进行远程操作，包括启动远程控制台、服务器电源控制，散热策略以及 BIOS 配置等；</w:t>
            </w:r>
          </w:p>
          <w:p w14:paraId="0FA4DAC8">
            <w:pPr>
              <w:numPr>
                <w:ilvl w:val="0"/>
                <w:numId w:val="3"/>
              </w:numPr>
              <w:spacing w:after="0" w:line="300" w:lineRule="auto"/>
              <w:ind w:left="0" w:firstLine="0"/>
              <w:rPr>
                <w:rFonts w:hint="eastAsia" w:ascii="宋体" w:hAnsi="宋体" w:cs="宋体"/>
              </w:rPr>
            </w:pPr>
            <w:r>
              <w:rPr>
                <w:rFonts w:hint="eastAsia" w:ascii="宋体" w:hAnsi="宋体" w:cs="宋体"/>
              </w:rPr>
              <w:t>服务器自带品牌管理软件：可以对日志信息进行筛选、查看、导出及清空等；</w:t>
            </w:r>
          </w:p>
          <w:p w14:paraId="4269E33A">
            <w:pPr>
              <w:numPr>
                <w:ilvl w:val="0"/>
                <w:numId w:val="3"/>
              </w:numPr>
              <w:spacing w:after="0" w:line="300" w:lineRule="auto"/>
              <w:ind w:left="0" w:firstLine="0"/>
              <w:rPr>
                <w:rFonts w:hint="eastAsia" w:ascii="宋体" w:hAnsi="宋体" w:cs="宋体"/>
              </w:rPr>
            </w:pPr>
            <w:r>
              <w:rPr>
                <w:rFonts w:hint="eastAsia" w:ascii="宋体" w:hAnsi="宋体" w:cs="宋体"/>
              </w:rPr>
              <w:t>服务器自带品牌管理软件：可对机器的各个方面的进行配置，如时间日期、网络、SNMP、SMTP、防火墙、用户管理等；</w:t>
            </w:r>
          </w:p>
          <w:p w14:paraId="733F073A">
            <w:pPr>
              <w:numPr>
                <w:ilvl w:val="0"/>
                <w:numId w:val="3"/>
              </w:numPr>
              <w:spacing w:after="0" w:line="300" w:lineRule="auto"/>
              <w:ind w:left="0" w:firstLine="0"/>
              <w:rPr>
                <w:rFonts w:hint="eastAsia" w:ascii="宋体" w:hAnsi="宋体" w:cs="宋体"/>
              </w:rPr>
            </w:pPr>
            <w:r>
              <w:rPr>
                <w:rFonts w:hint="eastAsia" w:ascii="宋体" w:hAnsi="宋体" w:cs="宋体"/>
              </w:rPr>
              <w:t>服务器自带品牌管理软件：可以对系统硬件信息进行查看与监控，包括资产信息、FRU 信息、RAID 信息、传感器信息、存储系统、硬件信息及监控；要求提供功能截图证明</w:t>
            </w:r>
          </w:p>
          <w:p w14:paraId="54053022">
            <w:pPr>
              <w:numPr>
                <w:ilvl w:val="0"/>
                <w:numId w:val="3"/>
              </w:numPr>
              <w:spacing w:after="0" w:line="300" w:lineRule="auto"/>
              <w:ind w:left="0" w:firstLine="0"/>
              <w:rPr>
                <w:rFonts w:hint="eastAsia" w:ascii="宋体" w:hAnsi="宋体" w:cs="宋体"/>
              </w:rPr>
            </w:pPr>
            <w:r>
              <w:rPr>
                <w:rFonts w:hint="eastAsia" w:ascii="宋体" w:hAnsi="宋体" w:cs="宋体"/>
              </w:rPr>
              <w:t>服务器自带品牌管理软件：故障诊断可重启 BMC，抓取自检代码及保存故障截屏等；</w:t>
            </w:r>
          </w:p>
          <w:p w14:paraId="66147020">
            <w:pPr>
              <w:numPr>
                <w:ilvl w:val="0"/>
                <w:numId w:val="3"/>
              </w:numPr>
              <w:spacing w:after="0" w:line="300" w:lineRule="auto"/>
              <w:ind w:left="0" w:firstLine="0"/>
              <w:rPr>
                <w:rFonts w:hint="eastAsia" w:ascii="宋体" w:hAnsi="宋体" w:cs="宋体"/>
              </w:rPr>
            </w:pPr>
            <w:r>
              <w:rPr>
                <w:rFonts w:hint="eastAsia" w:ascii="宋体" w:hAnsi="宋体" w:cs="宋体"/>
              </w:rPr>
              <w:t>服务器自带品牌管理软件：可对机器进行固件升级，恢复出厂设置，保留部分设置等操作；</w:t>
            </w:r>
          </w:p>
        </w:tc>
        <w:tc>
          <w:tcPr>
            <w:tcW w:w="567" w:type="dxa"/>
          </w:tcPr>
          <w:p w14:paraId="391E6B6B">
            <w:pPr>
              <w:pStyle w:val="20"/>
              <w:ind w:left="360" w:firstLine="0" w:firstLineChars="0"/>
              <w:rPr>
                <w:rFonts w:hint="eastAsia" w:ascii="仿宋" w:hAnsi="仿宋" w:eastAsia="仿宋" w:cs="仿宋"/>
                <w:sz w:val="24"/>
              </w:rPr>
            </w:pPr>
          </w:p>
        </w:tc>
      </w:tr>
      <w:tr w14:paraId="3D8C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9" w:type="dxa"/>
            <w:vMerge w:val="continue"/>
          </w:tcPr>
          <w:p w14:paraId="611EB445">
            <w:pPr>
              <w:rPr>
                <w:rFonts w:hint="eastAsia" w:ascii="仿宋" w:hAnsi="仿宋" w:eastAsia="仿宋" w:cs="仿宋"/>
                <w:b/>
              </w:rPr>
            </w:pPr>
          </w:p>
        </w:tc>
        <w:tc>
          <w:tcPr>
            <w:tcW w:w="947" w:type="dxa"/>
          </w:tcPr>
          <w:p w14:paraId="71F6AA55">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1.3人工智能平台</w:t>
            </w:r>
          </w:p>
        </w:tc>
        <w:tc>
          <w:tcPr>
            <w:tcW w:w="7230" w:type="dxa"/>
          </w:tcPr>
          <w:p w14:paraId="1EF174F8">
            <w:pPr>
              <w:numPr>
                <w:ilvl w:val="0"/>
                <w:numId w:val="4"/>
              </w:numPr>
              <w:spacing w:after="0" w:line="300" w:lineRule="auto"/>
              <w:ind w:left="0" w:firstLine="0"/>
              <w:rPr>
                <w:rFonts w:hint="eastAsia" w:ascii="宋体" w:hAnsi="宋体" w:cs="宋体"/>
              </w:rPr>
            </w:pPr>
            <w:r>
              <w:rPr>
                <w:rFonts w:hint="eastAsia" w:ascii="宋体" w:hAnsi="宋体" w:cs="宋体"/>
              </w:rPr>
              <w:t>部署企业级人工智能平台软件，支持TensorFlow、PyTorch等多种主流深度学习框架。</w:t>
            </w:r>
          </w:p>
          <w:p w14:paraId="30210BC3">
            <w:pPr>
              <w:numPr>
                <w:ilvl w:val="0"/>
                <w:numId w:val="4"/>
              </w:numPr>
              <w:spacing w:after="0" w:line="300" w:lineRule="auto"/>
              <w:ind w:left="0" w:firstLine="0"/>
              <w:rPr>
                <w:rFonts w:hint="eastAsia" w:ascii="宋体" w:hAnsi="宋体" w:cs="宋体"/>
              </w:rPr>
            </w:pPr>
            <w:r>
              <w:rPr>
                <w:rFonts w:hint="eastAsia" w:ascii="宋体" w:hAnsi="宋体" w:cs="宋体"/>
              </w:rPr>
              <w:t>平台需具备智能资源调度功能，可根据任务的优先级、资源需求和用户配额，动态、合理地分配GPU、CPU和内存资源，最大化利用算力资源。</w:t>
            </w:r>
          </w:p>
          <w:p w14:paraId="7ECCFE1E">
            <w:pPr>
              <w:numPr>
                <w:ilvl w:val="0"/>
                <w:numId w:val="4"/>
              </w:numPr>
              <w:spacing w:after="0" w:line="300" w:lineRule="auto"/>
              <w:ind w:left="0" w:firstLine="0"/>
              <w:rPr>
                <w:rFonts w:hint="eastAsia" w:ascii="宋体" w:hAnsi="宋体" w:cs="宋体"/>
              </w:rPr>
            </w:pPr>
            <w:r>
              <w:rPr>
                <w:rFonts w:hint="eastAsia" w:ascii="宋体" w:hAnsi="宋体" w:cs="宋体"/>
              </w:rPr>
              <w:t>提供完整的AI开发服务，包括但不限于：</w:t>
            </w:r>
          </w:p>
          <w:p w14:paraId="193DD3A4">
            <w:pPr>
              <w:pStyle w:val="20"/>
              <w:numPr>
                <w:ilvl w:val="0"/>
                <w:numId w:val="5"/>
              </w:numPr>
              <w:spacing w:after="0" w:line="300" w:lineRule="auto"/>
              <w:ind w:firstLineChars="0"/>
              <w:rPr>
                <w:rFonts w:hint="eastAsia" w:ascii="宋体" w:hAnsi="宋体" w:cs="宋体"/>
              </w:rPr>
            </w:pPr>
            <w:r>
              <w:rPr>
                <w:rFonts w:hint="eastAsia" w:ascii="宋体" w:hAnsi="宋体" w:cs="宋体"/>
              </w:rPr>
              <w:t>算法训练：提供交互式Notebook开发环境与批量任务提交接口。</w:t>
            </w:r>
          </w:p>
          <w:p w14:paraId="73ECEF1A">
            <w:pPr>
              <w:pStyle w:val="20"/>
              <w:numPr>
                <w:ilvl w:val="0"/>
                <w:numId w:val="5"/>
              </w:numPr>
              <w:spacing w:after="0" w:line="300" w:lineRule="auto"/>
              <w:ind w:firstLineChars="0"/>
              <w:rPr>
                <w:rFonts w:hint="eastAsia" w:ascii="宋体" w:hAnsi="宋体" w:cs="宋体"/>
              </w:rPr>
            </w:pPr>
            <w:r>
              <w:rPr>
                <w:rFonts w:hint="eastAsia" w:ascii="宋体" w:hAnsi="宋体" w:cs="宋体"/>
              </w:rPr>
              <w:t>模型托管：支持模型版本管理、部署与API发布。</w:t>
            </w:r>
          </w:p>
          <w:p w14:paraId="639D9EF2">
            <w:pPr>
              <w:pStyle w:val="20"/>
              <w:numPr>
                <w:ilvl w:val="0"/>
                <w:numId w:val="5"/>
              </w:numPr>
              <w:spacing w:after="0" w:line="300" w:lineRule="auto"/>
              <w:ind w:firstLineChars="0"/>
              <w:rPr>
                <w:rFonts w:hint="eastAsia" w:ascii="宋体" w:hAnsi="宋体" w:cs="宋体"/>
              </w:rPr>
            </w:pPr>
            <w:r>
              <w:rPr>
                <w:rFonts w:hint="eastAsia" w:ascii="宋体" w:hAnsi="宋体" w:cs="宋体"/>
              </w:rPr>
              <w:t>数据管理：提供数据集版本控制与安全访问机制。数据标注工具服务化，通过平台可以在线完成数据标注，标注后的数据可用于开发环境或训练任务，同时平台也支持标注工具的扩展。</w:t>
            </w:r>
          </w:p>
          <w:p w14:paraId="30E79656">
            <w:pPr>
              <w:pStyle w:val="20"/>
              <w:numPr>
                <w:ilvl w:val="0"/>
                <w:numId w:val="5"/>
              </w:numPr>
              <w:spacing w:after="0" w:line="300" w:lineRule="auto"/>
              <w:ind w:firstLineChars="0"/>
              <w:rPr>
                <w:rFonts w:hint="eastAsia" w:ascii="宋体" w:hAnsi="宋体" w:cs="宋体"/>
              </w:rPr>
            </w:pPr>
            <w:r>
              <w:rPr>
                <w:rFonts w:hint="eastAsia" w:ascii="宋体" w:hAnsi="宋体" w:cs="宋体"/>
              </w:rPr>
              <w:t>训练环境管理：支持自定义镜像与预置常用AI环境。支持镜像上传下载/多版本管理/镜像共享。支持对容器进行管理，提供ssh等连接方式。</w:t>
            </w:r>
          </w:p>
          <w:p w14:paraId="3F7F34B6">
            <w:pPr>
              <w:pStyle w:val="20"/>
              <w:numPr>
                <w:ilvl w:val="0"/>
                <w:numId w:val="5"/>
              </w:numPr>
              <w:spacing w:after="0" w:line="300" w:lineRule="auto"/>
              <w:ind w:firstLineChars="0"/>
              <w:rPr>
                <w:rFonts w:hint="eastAsia" w:ascii="宋体" w:hAnsi="宋体" w:cs="宋体"/>
              </w:rPr>
            </w:pPr>
            <w:r>
              <w:rPr>
                <w:rFonts w:hint="eastAsia" w:ascii="宋体" w:hAnsi="宋体" w:cs="宋体"/>
              </w:rPr>
              <w:t>自动调参：支持AutoML超参数自动调整。</w:t>
            </w:r>
          </w:p>
          <w:p w14:paraId="0E16114C">
            <w:pPr>
              <w:pStyle w:val="20"/>
              <w:numPr>
                <w:ilvl w:val="0"/>
                <w:numId w:val="5"/>
              </w:numPr>
              <w:spacing w:after="0" w:line="300" w:lineRule="auto"/>
              <w:ind w:firstLineChars="0"/>
              <w:rPr>
                <w:rFonts w:hint="eastAsia" w:ascii="宋体" w:hAnsi="宋体" w:cs="宋体"/>
              </w:rPr>
            </w:pPr>
            <w:r>
              <w:rPr>
                <w:rFonts w:hint="eastAsia" w:ascii="宋体" w:hAnsi="宋体" w:cs="宋体"/>
              </w:rPr>
              <w:t>人员管理：支持多层次组织架构管理，人员信息、权限管理。</w:t>
            </w:r>
          </w:p>
          <w:p w14:paraId="7FA248A7">
            <w:pPr>
              <w:pStyle w:val="20"/>
              <w:numPr>
                <w:ilvl w:val="0"/>
                <w:numId w:val="5"/>
              </w:numPr>
              <w:spacing w:after="0" w:line="300" w:lineRule="auto"/>
              <w:ind w:firstLineChars="0"/>
              <w:rPr>
                <w:rFonts w:hint="eastAsia" w:ascii="宋体" w:hAnsi="宋体" w:cs="宋体"/>
              </w:rPr>
            </w:pPr>
            <w:r>
              <w:rPr>
                <w:rFonts w:hint="eastAsia" w:ascii="宋体" w:hAnsi="宋体" w:cs="宋体"/>
              </w:rPr>
              <w:t>系统运维：多数据中心管理：支持接入多个数据中心并划分逻辑集群，通过统一平台调度管理。可在线动态扩容计算节点，灵活调整资源。实时监控节点状态、CPU、内存、GPU使用率及节点负载。</w:t>
            </w:r>
          </w:p>
          <w:p w14:paraId="0FCA29C7">
            <w:pPr>
              <w:pStyle w:val="20"/>
              <w:numPr>
                <w:ilvl w:val="0"/>
                <w:numId w:val="5"/>
              </w:numPr>
              <w:spacing w:after="0" w:line="300" w:lineRule="auto"/>
              <w:ind w:firstLineChars="0"/>
              <w:rPr>
                <w:rFonts w:hint="eastAsia" w:ascii="宋体" w:hAnsi="宋体" w:cs="宋体"/>
              </w:rPr>
            </w:pPr>
            <w:r>
              <w:rPr>
                <w:rFonts w:hint="eastAsia" w:ascii="宋体" w:hAnsi="宋体" w:cs="宋体"/>
              </w:rPr>
              <w:t>财务管理：支持硬件资源定价管理，支持记录平台充值/消费记录。</w:t>
            </w:r>
          </w:p>
          <w:p w14:paraId="59B17B8D">
            <w:pPr>
              <w:numPr>
                <w:ilvl w:val="0"/>
                <w:numId w:val="4"/>
              </w:numPr>
              <w:spacing w:after="0" w:line="300" w:lineRule="auto"/>
              <w:ind w:left="0" w:firstLine="0"/>
              <w:rPr>
                <w:rFonts w:hint="eastAsia" w:ascii="宋体" w:hAnsi="宋体" w:cs="宋体"/>
              </w:rPr>
            </w:pPr>
            <w:r>
              <w:rPr>
                <w:rFonts w:hint="eastAsia" w:ascii="宋体" w:hAnsi="宋体" w:cs="宋体"/>
              </w:rPr>
              <w:t>通过该平台，科研人员将能够便捷地开展医学影像智能分析、多模态数据融合建模、疾病风险预测等前沿研究，极大地提升数据分析的深度与广度。</w:t>
            </w:r>
          </w:p>
        </w:tc>
        <w:tc>
          <w:tcPr>
            <w:tcW w:w="567" w:type="dxa"/>
          </w:tcPr>
          <w:p w14:paraId="08DDBC46">
            <w:pPr>
              <w:pStyle w:val="20"/>
              <w:ind w:left="360" w:firstLine="0" w:firstLineChars="0"/>
              <w:rPr>
                <w:rFonts w:hint="eastAsia" w:ascii="仿宋" w:hAnsi="仿宋" w:eastAsia="仿宋" w:cs="仿宋"/>
                <w:sz w:val="24"/>
              </w:rPr>
            </w:pPr>
          </w:p>
        </w:tc>
      </w:tr>
      <w:tr w14:paraId="3BFE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493" w:type="dxa"/>
            <w:gridSpan w:val="4"/>
          </w:tcPr>
          <w:p w14:paraId="513366DE">
            <w:pPr>
              <w:jc w:val="left"/>
              <w:rPr>
                <w:rFonts w:hint="eastAsia" w:ascii="仿宋" w:hAnsi="仿宋" w:eastAsia="仿宋" w:cs="仿宋"/>
                <w:color w:val="FF0000"/>
                <w:sz w:val="24"/>
              </w:rPr>
            </w:pPr>
          </w:p>
        </w:tc>
      </w:tr>
    </w:tbl>
    <w:p w14:paraId="2165046E">
      <w:pPr>
        <w:spacing w:line="440" w:lineRule="exact"/>
        <w:ind w:left="357"/>
        <w:rPr>
          <w:rFonts w:hint="eastAsia" w:ascii="仿宋" w:hAnsi="仿宋" w:eastAsia="仿宋" w:cs="宋体"/>
          <w:sz w:val="28"/>
          <w:szCs w:val="28"/>
        </w:rPr>
      </w:pPr>
    </w:p>
    <w:p w14:paraId="3B67A815">
      <w:pPr>
        <w:spacing w:line="440" w:lineRule="exact"/>
        <w:ind w:left="357"/>
        <w:rPr>
          <w:rFonts w:hint="eastAsia" w:ascii="仿宋" w:hAnsi="仿宋" w:eastAsia="仿宋" w:cs="宋体"/>
          <w:sz w:val="28"/>
          <w:szCs w:val="28"/>
        </w:rPr>
      </w:pPr>
      <w:r>
        <w:rPr>
          <w:rFonts w:hint="eastAsia"/>
          <w:sz w:val="24"/>
        </w:rPr>
        <w:t>备注：本项目具体采购数量以采购人实际采购需求为准，投标文件中报价须含总价及单价</w:t>
      </w:r>
    </w:p>
    <w:p w14:paraId="12A80958">
      <w:pPr>
        <w:numPr>
          <w:ilvl w:val="0"/>
          <w:numId w:val="6"/>
        </w:numPr>
        <w:spacing w:after="0"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14:paraId="537B3508">
      <w:pPr>
        <w:pStyle w:val="17"/>
        <w:spacing w:before="0" w:beforeAutospacing="0" w:after="0" w:afterAutospacing="0" w:line="480" w:lineRule="atLeast"/>
        <w:ind w:firstLine="640"/>
        <w:jc w:val="both"/>
        <w:rPr>
          <w:rFonts w:hint="eastAsia"/>
        </w:rPr>
      </w:pPr>
      <w:r>
        <w:rPr>
          <w:rStyle w:val="19"/>
          <w:rFonts w:hint="eastAsia" w:ascii="仿宋_GB2312" w:eastAsia="仿宋_GB2312"/>
          <w:sz w:val="32"/>
          <w:szCs w:val="32"/>
        </w:rPr>
        <w:t>1、本项目为国产品牌，设备安装、系统集成、软件客户化均由乙方负责。提供设备软硬件安装工作，同时结合医院现有设备及应用情况，实施现有及本项目规划、等保安全、系统集成、协助完成医院评审工作包括但不限于三级等保评审、电子病历评审、互联互通评审等各项工作。</w:t>
      </w:r>
    </w:p>
    <w:p w14:paraId="38AE595C">
      <w:pPr>
        <w:pStyle w:val="13"/>
        <w:ind w:firstLine="640" w:firstLineChars="200"/>
        <w:rPr>
          <w:rFonts w:hint="eastAsia" w:ascii="仿宋_GB2312" w:hAnsi="仿宋_GB2312" w:cs="仿宋_GB2312"/>
          <w:kern w:val="0"/>
          <w:sz w:val="32"/>
          <w:szCs w:val="32"/>
        </w:rPr>
      </w:pPr>
      <w:r>
        <w:rPr>
          <w:rFonts w:hint="eastAsia" w:ascii="仿宋_GB2312" w:hAnsi="仿宋_GB2312" w:cs="仿宋_GB2312"/>
          <w:kern w:val="0"/>
          <w:sz w:val="32"/>
          <w:szCs w:val="32"/>
        </w:rPr>
        <w:t>2.本项目涉及的设备安装调试并经验收合格后，应对采购方的相关人员提供关于系统应用时技术和操作方面的培训。相关培训费用应包含在投标总价中。</w:t>
      </w:r>
    </w:p>
    <w:p w14:paraId="13A6F604">
      <w:pPr>
        <w:pStyle w:val="13"/>
        <w:numPr>
          <w:ilvl w:val="0"/>
          <w:numId w:val="6"/>
        </w:numPr>
        <w:spacing w:after="0" w:line="360" w:lineRule="auto"/>
        <w:rPr>
          <w:rFonts w:hint="eastAsia" w:ascii="仿宋_GB2312" w:hAnsi="仿宋_GB2312" w:cs="仿宋_GB2312"/>
          <w:b/>
          <w:bCs/>
          <w:sz w:val="32"/>
          <w:szCs w:val="32"/>
        </w:rPr>
      </w:pPr>
      <w:r>
        <w:rPr>
          <w:rFonts w:hint="eastAsia" w:ascii="仿宋_GB2312" w:hAnsi="仿宋_GB2312" w:cs="仿宋_GB2312"/>
          <w:b/>
          <w:bCs/>
          <w:sz w:val="32"/>
          <w:szCs w:val="32"/>
        </w:rPr>
        <w:t>调研说明</w:t>
      </w:r>
    </w:p>
    <w:p w14:paraId="0738B7E5">
      <w:pPr>
        <w:shd w:val="solid" w:color="FFFFFF" w:fill="auto"/>
        <w:autoSpaceDN w:val="0"/>
        <w:spacing w:after="0"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报名参加本次调研的供应商、厂家需提供如下相关资料。</w:t>
      </w:r>
    </w:p>
    <w:p w14:paraId="25F387C3">
      <w:pPr>
        <w:widowControl/>
        <w:numPr>
          <w:ilvl w:val="0"/>
          <w:numId w:val="7"/>
        </w:numPr>
        <w:spacing w:after="0"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报名时请携带加盖公章的项目文件回执单、营业执照复印件、公司简介（可含提供设备彩页等）。</w:t>
      </w:r>
    </w:p>
    <w:p w14:paraId="0AAC06D4">
      <w:pPr>
        <w:widowControl/>
        <w:shd w:val="clear" w:color="auto" w:fill="FFFFFF"/>
        <w:spacing w:after="0"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2、参与项目调研供应商代表的个人授权函（需加盖供应商公章）和身份证复印件。</w:t>
      </w:r>
    </w:p>
    <w:p w14:paraId="048EB555">
      <w:pPr>
        <w:widowControl/>
        <w:shd w:val="clear" w:color="auto" w:fill="FFFFFF"/>
        <w:spacing w:after="0"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3、分别提供“信用中国”网站（www.creditchina.gov.cn）、“中国政府采购网”网站（http://www.ccgp.gov.cn/search/cr/）信用记录查询截图，无不良记录并加盖公章（截图查询日期必须在该公告日期内）。</w:t>
      </w:r>
    </w:p>
    <w:p w14:paraId="71CF27D6">
      <w:pPr>
        <w:pStyle w:val="13"/>
        <w:spacing w:after="0" w:line="360" w:lineRule="auto"/>
        <w:ind w:firstLine="640" w:firstLineChars="200"/>
        <w:rPr>
          <w:rFonts w:hint="eastAsia" w:ascii="仿宋_GB2312" w:hAnsi="仿宋_GB2312" w:cs="仿宋_GB2312"/>
          <w:kern w:val="0"/>
          <w:sz w:val="32"/>
          <w:szCs w:val="32"/>
        </w:rPr>
      </w:pPr>
      <w:r>
        <w:rPr>
          <w:rFonts w:hint="eastAsia" w:ascii="仿宋_GB2312" w:hAnsi="仿宋_GB2312" w:cs="仿宋_GB2312"/>
          <w:kern w:val="0"/>
          <w:sz w:val="32"/>
          <w:szCs w:val="32"/>
        </w:rPr>
        <w:t>4、提供业绩清单及近3年省内同类项目中标书</w:t>
      </w:r>
    </w:p>
    <w:p w14:paraId="33383228">
      <w:pPr>
        <w:pStyle w:val="13"/>
        <w:spacing w:after="0" w:line="360" w:lineRule="auto"/>
        <w:ind w:firstLine="640" w:firstLineChars="200"/>
        <w:rPr>
          <w:rFonts w:hint="eastAsia" w:ascii="仿宋_GB2312" w:hAnsi="仿宋_GB2312" w:cs="仿宋_GB2312"/>
          <w:kern w:val="0"/>
          <w:sz w:val="32"/>
          <w:szCs w:val="32"/>
        </w:rPr>
      </w:pPr>
      <w:r>
        <w:rPr>
          <w:rFonts w:hint="eastAsia" w:ascii="仿宋_GB2312" w:hAnsi="仿宋_GB2312" w:cs="仿宋_GB2312"/>
          <w:kern w:val="0"/>
          <w:sz w:val="32"/>
          <w:szCs w:val="32"/>
        </w:rPr>
        <w:t>5、本调研会的报价仅做为本项目公开招标的预算限价；不做参与投标的限制条件；</w:t>
      </w:r>
    </w:p>
    <w:p w14:paraId="0DE8F44A">
      <w:pPr>
        <w:pStyle w:val="13"/>
        <w:spacing w:after="0" w:line="360" w:lineRule="auto"/>
        <w:ind w:firstLine="640" w:firstLineChars="200"/>
        <w:rPr>
          <w:rFonts w:hint="eastAsia" w:ascii="仿宋_GB2312" w:hAnsi="仿宋_GB2312" w:cs="仿宋_GB2312"/>
          <w:kern w:val="0"/>
          <w:sz w:val="32"/>
          <w:szCs w:val="32"/>
        </w:rPr>
      </w:pPr>
      <w:r>
        <w:rPr>
          <w:rFonts w:hint="eastAsia" w:ascii="仿宋_GB2312" w:hAnsi="仿宋_GB2312" w:cs="仿宋_GB2312"/>
          <w:kern w:val="0"/>
          <w:sz w:val="32"/>
          <w:szCs w:val="32"/>
        </w:rPr>
        <w:t>6、上述各参数将做为本项目招标的主要参数，不代表本项目公开招标的最终参数；</w:t>
      </w:r>
    </w:p>
    <w:p w14:paraId="3CF0607F">
      <w:pPr>
        <w:pStyle w:val="13"/>
        <w:spacing w:after="0" w:line="360" w:lineRule="auto"/>
        <w:ind w:firstLine="640" w:firstLineChars="200"/>
        <w:rPr>
          <w:rFonts w:hint="eastAsia" w:ascii="仿宋_GB2312" w:hAnsi="仿宋_GB2312" w:cs="仿宋_GB2312"/>
          <w:kern w:val="0"/>
          <w:sz w:val="32"/>
          <w:szCs w:val="32"/>
        </w:rPr>
      </w:pPr>
      <w:r>
        <w:rPr>
          <w:rFonts w:hint="eastAsia" w:ascii="仿宋_GB2312" w:hAnsi="仿宋_GB2312" w:cs="仿宋_GB2312"/>
          <w:kern w:val="0"/>
          <w:sz w:val="32"/>
          <w:szCs w:val="32"/>
        </w:rPr>
        <w:t>7、参加调研会的公司应准备PPT材料（含方案介绍、服务及集成能力、应用案例、报价等）、技术参数等材料，每公司讲解时间30分钟（含答疑10分钟）；同时上述材料须交予院方留档（发送邮件到wlb@fjzlhospital.com，并提供U盘留档）。</w:t>
      </w:r>
    </w:p>
    <w:p w14:paraId="6CB2C904">
      <w:pPr>
        <w:pStyle w:val="13"/>
        <w:spacing w:after="0" w:line="360" w:lineRule="auto"/>
        <w:ind w:firstLine="640" w:firstLineChars="200"/>
        <w:rPr>
          <w:rFonts w:hint="eastAsia" w:ascii="仿宋_GB2312" w:hAnsi="仿宋_GB2312" w:cs="仿宋_GB2312"/>
          <w:kern w:val="0"/>
          <w:sz w:val="32"/>
          <w:szCs w:val="32"/>
        </w:rPr>
      </w:pPr>
      <w:r>
        <w:rPr>
          <w:rFonts w:hint="eastAsia" w:ascii="仿宋_GB2312" w:hAnsi="仿宋_GB2312" w:cs="仿宋_GB2312"/>
          <w:kern w:val="0"/>
          <w:sz w:val="32"/>
          <w:szCs w:val="32"/>
        </w:rPr>
        <w:t>8、采购调研文件正本壹份,副本叁份胶装并密封加盖投标人公章。投标文件未胶装将视为无效。</w:t>
      </w:r>
    </w:p>
    <w:p w14:paraId="21D69956">
      <w:pPr>
        <w:pStyle w:val="13"/>
        <w:spacing w:after="0"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14:paraId="40C54DE3">
      <w:pPr>
        <w:shd w:val="solid" w:color="FFFFFF" w:fill="auto"/>
        <w:autoSpaceDN w:val="0"/>
        <w:spacing w:after="0" w:line="360" w:lineRule="auto"/>
        <w:jc w:val="center"/>
        <w:rPr>
          <w:rFonts w:hint="eastAsia" w:ascii="仿宋_GB2312" w:hAnsi="仿宋_GB2312" w:eastAsia="仿宋_GB2312" w:cs="仿宋_GB2312"/>
          <w:b/>
          <w:color w:val="000000"/>
          <w:sz w:val="32"/>
          <w:szCs w:val="32"/>
          <w:shd w:val="clear" w:color="auto" w:fill="FFFFFF"/>
        </w:rPr>
      </w:pPr>
    </w:p>
    <w:p w14:paraId="6C49C88A">
      <w:pPr>
        <w:shd w:val="solid" w:color="FFFFFF" w:fill="auto"/>
        <w:autoSpaceDN w:val="0"/>
        <w:spacing w:after="0"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659F567C">
      <w:pPr>
        <w:shd w:val="solid" w:color="FFFFFF" w:fill="auto"/>
        <w:autoSpaceDN w:val="0"/>
        <w:spacing w:after="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112767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CC5B2BB">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766880D">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37E2593">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97463D9">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0A105A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FCBD99A">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A67BA3E">
            <w:pPr>
              <w:shd w:val="solid" w:color="FFFFFF" w:fill="auto"/>
              <w:autoSpaceDN w:val="0"/>
              <w:spacing w:after="0"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860B96F">
            <w:pPr>
              <w:shd w:val="solid" w:color="FFFFFF" w:fill="auto"/>
              <w:autoSpaceDN w:val="0"/>
              <w:spacing w:after="0"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1B6BA27">
            <w:pPr>
              <w:shd w:val="solid" w:color="FFFFFF" w:fill="auto"/>
              <w:autoSpaceDN w:val="0"/>
              <w:spacing w:after="0" w:line="360" w:lineRule="auto"/>
              <w:rPr>
                <w:rFonts w:hint="eastAsia" w:ascii="仿宋_GB2312" w:hAnsi="仿宋_GB2312" w:eastAsia="仿宋_GB2312" w:cs="仿宋_GB2312"/>
                <w:bCs/>
                <w:sz w:val="28"/>
                <w:szCs w:val="28"/>
                <w:shd w:val="clear" w:color="auto" w:fill="FFFFFF"/>
              </w:rPr>
            </w:pPr>
          </w:p>
        </w:tc>
      </w:tr>
      <w:tr w14:paraId="786A36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30694BE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290D97E">
            <w:pPr>
              <w:shd w:val="solid" w:color="FFFFFF" w:fill="auto"/>
              <w:autoSpaceDN w:val="0"/>
              <w:spacing w:after="0"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9F4A00D">
            <w:pPr>
              <w:shd w:val="solid" w:color="FFFFFF" w:fill="auto"/>
              <w:autoSpaceDN w:val="0"/>
              <w:spacing w:after="0"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8ACCE11">
            <w:pPr>
              <w:shd w:val="solid" w:color="FFFFFF" w:fill="auto"/>
              <w:autoSpaceDN w:val="0"/>
              <w:spacing w:after="0" w:line="360" w:lineRule="auto"/>
              <w:rPr>
                <w:rFonts w:hint="eastAsia" w:ascii="仿宋_GB2312" w:hAnsi="仿宋_GB2312" w:eastAsia="仿宋_GB2312" w:cs="仿宋_GB2312"/>
                <w:bCs/>
                <w:sz w:val="28"/>
                <w:szCs w:val="28"/>
                <w:shd w:val="clear" w:color="auto" w:fill="FFFFFF"/>
              </w:rPr>
            </w:pPr>
          </w:p>
        </w:tc>
      </w:tr>
    </w:tbl>
    <w:p w14:paraId="1DBE4070">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26BAD80A">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68FEB8D1">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0F052B2E">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545643D9">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0C75C842">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1D903916">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40EAC1CE">
      <w:pPr>
        <w:pStyle w:val="13"/>
        <w:spacing w:after="0" w:line="360" w:lineRule="auto"/>
        <w:rPr>
          <w:rFonts w:hint="eastAsia" w:ascii="仿宋_GB2312" w:hAnsi="仿宋_GB2312" w:cs="仿宋_GB2312"/>
          <w:bCs/>
          <w:sz w:val="32"/>
          <w:szCs w:val="32"/>
          <w:shd w:val="clear" w:color="auto" w:fill="FFFFFF"/>
        </w:rPr>
      </w:pPr>
    </w:p>
    <w:p w14:paraId="0919DA40">
      <w:pPr>
        <w:pStyle w:val="13"/>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14:paraId="3FD677A2">
      <w:pPr>
        <w:pStyle w:val="13"/>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823D3">
    <w:pPr>
      <w:pStyle w:val="6"/>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14:paraId="57C32B8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14:paraId="57C32B8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F14DE"/>
    <w:multiLevelType w:val="multilevel"/>
    <w:tmpl w:val="80DF14D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CE427354"/>
    <w:multiLevelType w:val="singleLevel"/>
    <w:tmpl w:val="CE427354"/>
    <w:lvl w:ilvl="0" w:tentative="0">
      <w:start w:val="2"/>
      <w:numFmt w:val="chineseCounting"/>
      <w:suff w:val="nothing"/>
      <w:lvlText w:val="%1、"/>
      <w:lvlJc w:val="left"/>
      <w:rPr>
        <w:rFonts w:hint="eastAsia"/>
      </w:rPr>
    </w:lvl>
  </w:abstractNum>
  <w:abstractNum w:abstractNumId="2">
    <w:nsid w:val="513070B0"/>
    <w:multiLevelType w:val="multilevel"/>
    <w:tmpl w:val="513070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551602"/>
    <w:multiLevelType w:val="singleLevel"/>
    <w:tmpl w:val="53551602"/>
    <w:lvl w:ilvl="0" w:tentative="0">
      <w:start w:val="3"/>
      <w:numFmt w:val="chineseCounting"/>
      <w:suff w:val="nothing"/>
      <w:lvlText w:val="%1、"/>
      <w:lvlJc w:val="left"/>
      <w:rPr>
        <w:rFonts w:hint="eastAsia"/>
      </w:rPr>
    </w:lvl>
  </w:abstractNum>
  <w:abstractNum w:abstractNumId="4">
    <w:nsid w:val="62800BA0"/>
    <w:multiLevelType w:val="multilevel"/>
    <w:tmpl w:val="62800BA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67B4397F"/>
    <w:multiLevelType w:val="singleLevel"/>
    <w:tmpl w:val="67B4397F"/>
    <w:lvl w:ilvl="0" w:tentative="0">
      <w:start w:val="1"/>
      <w:numFmt w:val="decimal"/>
      <w:suff w:val="nothing"/>
      <w:lvlText w:val="%1、"/>
      <w:lvlJc w:val="left"/>
    </w:lvl>
  </w:abstractNum>
  <w:abstractNum w:abstractNumId="6">
    <w:nsid w:val="69594438"/>
    <w:multiLevelType w:val="multilevel"/>
    <w:tmpl w:val="695944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B63602"/>
    <w:rsid w:val="00040F67"/>
    <w:rsid w:val="00265CE7"/>
    <w:rsid w:val="003F0116"/>
    <w:rsid w:val="0055203D"/>
    <w:rsid w:val="006E6890"/>
    <w:rsid w:val="00A5751D"/>
    <w:rsid w:val="00B63602"/>
    <w:rsid w:val="00BB1A1D"/>
    <w:rsid w:val="00CF4C75"/>
    <w:rsid w:val="00E0764E"/>
    <w:rsid w:val="03D45D33"/>
    <w:rsid w:val="06AB3EF9"/>
    <w:rsid w:val="073366F3"/>
    <w:rsid w:val="114B0570"/>
    <w:rsid w:val="24551637"/>
    <w:rsid w:val="2B6F0EB1"/>
    <w:rsid w:val="2E2C6F6C"/>
    <w:rsid w:val="380155F4"/>
    <w:rsid w:val="3BC417E3"/>
    <w:rsid w:val="410D36A6"/>
    <w:rsid w:val="447D605D"/>
    <w:rsid w:val="48167DDB"/>
    <w:rsid w:val="4A3137CE"/>
    <w:rsid w:val="52EA055C"/>
    <w:rsid w:val="532365B3"/>
    <w:rsid w:val="59B241EC"/>
    <w:rsid w:val="5CF60EE0"/>
    <w:rsid w:val="5D0921C1"/>
    <w:rsid w:val="61E227D3"/>
    <w:rsid w:val="635F0B54"/>
    <w:rsid w:val="6E090AF8"/>
    <w:rsid w:val="79206F6D"/>
    <w:rsid w:val="7C263D3B"/>
    <w:rsid w:val="7F63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4">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5">
    <w:name w:val="列表段落1"/>
    <w:basedOn w:val="1"/>
    <w:qFormat/>
    <w:uiPriority w:val="34"/>
    <w:pPr>
      <w:ind w:firstLine="420" w:firstLineChars="200"/>
    </w:p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p16"/>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页眉 字符"/>
    <w:link w:val="7"/>
    <w:qFormat/>
    <w:uiPriority w:val="0"/>
    <w:rPr>
      <w:rFonts w:ascii="Calibri" w:hAnsi="Calibri" w:cs="黑体"/>
      <w:kern w:val="2"/>
      <w:sz w:val="18"/>
      <w:szCs w:val="18"/>
    </w:rPr>
  </w:style>
  <w:style w:type="character" w:customStyle="1" w:styleId="19">
    <w:name w:val="b-free-read-leaf"/>
    <w:basedOn w:val="11"/>
    <w:qFormat/>
    <w:uiPriority w:val="0"/>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2286</Words>
  <Characters>2653</Characters>
  <Lines>20</Lines>
  <Paragraphs>5</Paragraphs>
  <TotalTime>0</TotalTime>
  <ScaleCrop>false</ScaleCrop>
  <LinksUpToDate>false</LinksUpToDate>
  <CharactersWithSpaces>2810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郑薇</cp:lastModifiedBy>
  <cp:lastPrinted>2026-01-14T06:47:00Z</cp:lastPrinted>
  <dcterms:modified xsi:type="dcterms:W3CDTF">2026-04-15T08:56:37Z</dcterms:modified>
  <dc:title>设备科：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55CBDA37714545DE94D60683B92EB1FB_13</vt:lpwstr>
  </property>
  <property fmtid="{D5CDD505-2E9C-101B-9397-08002B2CF9AE}" pid="4" name="KSOTemplateDocerSaveRecord">
    <vt:lpwstr>eyJoZGlkIjoiNzRlNzZiNjE1N2NiNDY1MjdjNTllOWUxMWU4Y2ZiZGQiLCJ1c2VySWQiOiIxNzAyMzQ4MDU4In0=</vt:lpwstr>
  </property>
</Properties>
</file>