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D0CC"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商保平台合作方遴选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50101728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1272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7FA">
            <w:pPr>
              <w:pStyle w:val="7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1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533F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1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C3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：商保平台合作方遴选  </w:t>
            </w:r>
          </w:p>
        </w:tc>
      </w:tr>
      <w:tr w14:paraId="5FFB7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8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3E11">
            <w:pPr>
              <w:keepNext w:val="0"/>
              <w:keepLines w:val="0"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689DF0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53FD7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7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  <w:lang w:eastAsia="zh-CN"/>
              </w:rPr>
              <w:t>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人公章。文件未胶装将视为无效。</w:t>
            </w:r>
          </w:p>
        </w:tc>
      </w:tr>
      <w:tr w14:paraId="1EF8E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C9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C7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5A603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F9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8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4E888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B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3533">
            <w:pPr>
              <w:keepNext w:val="0"/>
              <w:keepLines w:val="0"/>
              <w:widowControl/>
              <w:suppressLineNumbers w:val="0"/>
              <w:shd w:val="clear" w:color="auto" w:fill="FFFFFF"/>
              <w:wordWrap/>
              <w:adjustRightInd w:val="0"/>
              <w:snapToGrid w:val="0"/>
              <w:spacing w:before="0" w:beforeAutospacing="0" w:after="0" w:afterAutospacing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报名、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调研等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过程中有任何异议，可联系我院监督科室。电话：83660063-8407；83660063-8467。</w:t>
            </w:r>
          </w:p>
        </w:tc>
      </w:tr>
    </w:tbl>
    <w:p w14:paraId="562354F5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 w14:paraId="37C3169C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48C1857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2C856FBE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1C067F9D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2DDA104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 工、高 工</w:t>
      </w:r>
    </w:p>
    <w:p w14:paraId="7715BD14"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E3C2139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7389649A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4569"/>
        <w:gridCol w:w="2202"/>
      </w:tblGrid>
      <w:tr w14:paraId="7DA1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48" w:type="dxa"/>
            <w:vAlign w:val="center"/>
          </w:tcPr>
          <w:p w14:paraId="56916E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69" w:type="dxa"/>
            <w:vAlign w:val="center"/>
          </w:tcPr>
          <w:p w14:paraId="724BE7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2202" w:type="dxa"/>
            <w:vAlign w:val="center"/>
          </w:tcPr>
          <w:p w14:paraId="47B00A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0416F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348" w:type="dxa"/>
            <w:vAlign w:val="center"/>
          </w:tcPr>
          <w:p w14:paraId="59F2BE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6DE44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商保平台合作方遴选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9340415">
            <w:pPr>
              <w:keepNext w:val="0"/>
              <w:keepLines w:val="0"/>
              <w:suppressLineNumbers w:val="0"/>
              <w:wordWrap/>
              <w:autoSpaceDN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</w:tr>
    </w:tbl>
    <w:p w14:paraId="3E5E084F">
      <w:pPr>
        <w:rPr>
          <w:rFonts w:hint="eastAsia"/>
          <w:lang w:val="en-US" w:eastAsia="zh-CN"/>
        </w:rPr>
      </w:pPr>
    </w:p>
    <w:p w14:paraId="7FB4D3D9">
      <w:pPr>
        <w:rPr>
          <w:rFonts w:hint="eastAsia"/>
          <w:lang w:val="en-US" w:eastAsia="zh-CN"/>
        </w:rPr>
      </w:pPr>
    </w:p>
    <w:p w14:paraId="4827E974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40D5AE77">
      <w:pPr>
        <w:widowControl/>
        <w:numPr>
          <w:ilvl w:val="0"/>
          <w:numId w:val="1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全国搭建平台的医疗单位不少于5家，已接入的保险公司数量不少于10家。</w:t>
      </w:r>
    </w:p>
    <w:p w14:paraId="60CD9D02">
      <w:pPr>
        <w:widowControl/>
        <w:numPr>
          <w:ilvl w:val="0"/>
          <w:numId w:val="1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支持保险公司进行商保客户导流及分诊选医，具备AI分诊功能，并可根据医院特点进行分诊模型定制。</w:t>
      </w:r>
    </w:p>
    <w:p w14:paraId="3492B41A">
      <w:pPr>
        <w:widowControl/>
        <w:numPr>
          <w:ilvl w:val="0"/>
          <w:numId w:val="1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支持商保客户对权益的申请及查询，支持医生查询保单权益，并具备对应可报销药品目录的提示功能。</w:t>
      </w:r>
    </w:p>
    <w:p w14:paraId="6403874F">
      <w:pPr>
        <w:widowControl/>
        <w:numPr>
          <w:ilvl w:val="0"/>
          <w:numId w:val="1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支持商保患者在线申请直赔及快赔，支持医院、保司、服务平台三方自动结算、支付当日产生的理赔账单。</w:t>
      </w:r>
    </w:p>
    <w:p w14:paraId="30BBF90D">
      <w:pPr>
        <w:rPr>
          <w:rFonts w:hint="default"/>
          <w:sz w:val="24"/>
          <w:szCs w:val="24"/>
          <w:lang w:val="en-US" w:eastAsia="zh-CN"/>
        </w:rPr>
      </w:pPr>
    </w:p>
    <w:p w14:paraId="70E9737D">
      <w:pPr>
        <w:pStyle w:val="11"/>
        <w:widowControl w:val="0"/>
        <w:numPr>
          <w:ilvl w:val="0"/>
          <w:numId w:val="2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</w:t>
      </w:r>
    </w:p>
    <w:p w14:paraId="06A6A7B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报名参加本次遴选的供应商、厂家需提供如下相关资料。</w:t>
      </w:r>
    </w:p>
    <w:p w14:paraId="0D648193"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报名时请携带加盖公章的项目文件回执单、营业执照复印件、公司简介（可含提供设备彩页等）。</w:t>
      </w:r>
    </w:p>
    <w:p w14:paraId="13B40ED1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2、参与项目遴选合作方代表的个人授权函（需加盖供应商公章）和身份证复印件。</w:t>
      </w:r>
    </w:p>
    <w:p w14:paraId="5035A4D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05BB2D73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4、提供业绩清单及近3年省内同类项目中标书</w:t>
      </w:r>
    </w:p>
    <w:p w14:paraId="718E7794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、参加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遴选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会的公司应准备PPT材料（含方案介绍、服务及集成能力、应用案例等）、技术参数等材料，每公司讲解时间30分钟（含答疑10分钟）；同时上述材料须交予院方留档（发送邮件到wlb@fjzlhospital.com，并提供U盘留档）。</w:t>
      </w:r>
    </w:p>
    <w:p w14:paraId="46E28F71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D66C97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3246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24368782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79CABBCC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0996F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2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DF7F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4D5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E4A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6DC94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EF93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8E8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9D2D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D3E5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9753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DAE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0190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551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AF82">
            <w:pPr>
              <w:keepNext w:val="0"/>
              <w:keepLines w:val="0"/>
              <w:suppressLineNumbers w:val="0"/>
              <w:shd w:val="solid" w:color="FFFFFF" w:fill="auto"/>
              <w:wordWrap/>
              <w:autoSpaceDN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5B340C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6671FA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442831B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1870D0E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9E6525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37A726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DC28CE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D9FA03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1CD63C5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0AABB525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 w14:paraId="348DB955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802E01E"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pgSz w:w="12240" w:h="15840"/>
          <w:pgMar w:top="1417" w:right="1587" w:bottom="1417" w:left="1587" w:header="720" w:footer="720" w:gutter="0"/>
          <w:cols w:space="720" w:num="1"/>
          <w:docGrid w:type="lines" w:linePitch="316" w:charSpace="0"/>
        </w:sectPr>
      </w:pPr>
    </w:p>
    <w:p w14:paraId="0CA6D653">
      <w:pPr>
        <w:pStyle w:val="11"/>
        <w:wordWrap/>
        <w:spacing w:before="0" w:after="0" w:line="24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D0F26-56EC-4E09-B036-7CD6205287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B55CE53-C53E-4346-B79D-6C342870C3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8DFE86-D8EF-4B24-ABF2-3A45117476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48CE6B-9C1A-4D8B-BCE0-BA13CD0FE0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7A41"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15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C15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293CF"/>
    <w:multiLevelType w:val="singleLevel"/>
    <w:tmpl w:val="D87293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E92478A"/>
    <w:rsid w:val="126E6F0D"/>
    <w:rsid w:val="12A762B4"/>
    <w:rsid w:val="14B107D7"/>
    <w:rsid w:val="1CBB7829"/>
    <w:rsid w:val="1CC573FD"/>
    <w:rsid w:val="2EE55B0E"/>
    <w:rsid w:val="31F71996"/>
    <w:rsid w:val="36A34748"/>
    <w:rsid w:val="3DE452E3"/>
    <w:rsid w:val="432A28BE"/>
    <w:rsid w:val="47F710F1"/>
    <w:rsid w:val="5703333E"/>
    <w:rsid w:val="609117EB"/>
    <w:rsid w:val="64F658D5"/>
    <w:rsid w:val="69FD59C7"/>
    <w:rsid w:val="6A51544F"/>
    <w:rsid w:val="6A7B433D"/>
    <w:rsid w:val="6DDE3A8C"/>
    <w:rsid w:val="72C8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875</Words>
  <Characters>1028</Characters>
  <Lines>1</Lines>
  <Paragraphs>1</Paragraphs>
  <TotalTime>7</TotalTime>
  <ScaleCrop>false</ScaleCrop>
  <LinksUpToDate>false</LinksUpToDate>
  <CharactersWithSpaces>1154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高镜杰</cp:lastModifiedBy>
  <cp:lastPrinted>2023-06-20T07:45:00Z</cp:lastPrinted>
  <dcterms:modified xsi:type="dcterms:W3CDTF">2026-03-04T02:49:20Z</dcterms:modified>
  <dc:title>设备科：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BCF88AC8F1EA40C396DA6CD8A02C112C_13</vt:lpwstr>
  </property>
  <property fmtid="{D5CDD505-2E9C-101B-9397-08002B2CF9AE}" pid="4" name="KSOTemplateDocerSaveRecord">
    <vt:lpwstr>eyJoZGlkIjoiNTYxN2RhMWQwZTc2YmUwNmJiNjhhZjE3NzZlNzY3MjMiLCJ1c2VySWQiOiIxNzI5ODcwMDA5In0=</vt:lpwstr>
  </property>
</Properties>
</file>