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79ED9">
      <w:pPr>
        <w:pStyle w:val="2"/>
        <w:spacing w:after="0" w:line="360" w:lineRule="auto"/>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医用手持终端（PDA）</w:t>
      </w:r>
    </w:p>
    <w:p w14:paraId="5F0F3375">
      <w:pPr>
        <w:pStyle w:val="2"/>
        <w:spacing w:after="0" w:line="360" w:lineRule="auto"/>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lang w:val="en-US" w:eastAsia="zh-CN"/>
        </w:rPr>
        <w:t>采购调研</w:t>
      </w:r>
      <w:r>
        <w:rPr>
          <w:rFonts w:hint="eastAsia" w:ascii="方正小标宋简体" w:hAnsi="方正小标宋简体" w:eastAsia="方正小标宋简体" w:cs="方正小标宋简体"/>
          <w:b w:val="0"/>
          <w:kern w:val="2"/>
          <w:szCs w:val="44"/>
        </w:rPr>
        <w:t>公告</w:t>
      </w:r>
    </w:p>
    <w:p w14:paraId="7116485E">
      <w:pPr>
        <w:widowControl/>
        <w:shd w:val="clear" w:color="auto" w:fill="FFFFFF"/>
        <w:adjustRightInd w:val="0"/>
        <w:snapToGrid w:val="0"/>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2CB1B03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D6A106C">
            <w:pPr>
              <w:pStyle w:val="8"/>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124A96">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C3332F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0DF1457">
            <w:pPr>
              <w:widowControl/>
              <w:spacing w:after="0"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74E189">
            <w:pPr>
              <w:widowControl/>
              <w:spacing w:after="0"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医用手持终端（PDA）</w:t>
            </w:r>
          </w:p>
        </w:tc>
      </w:tr>
      <w:tr w14:paraId="592B62A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7B2D32D">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DAAC2C">
            <w:pPr>
              <w:spacing w:after="0"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6</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71FFDEF3">
            <w:pPr>
              <w:widowControl/>
              <w:spacing w:after="0" w:line="360" w:lineRule="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14:paraId="53BF95A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A33298">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430A0E">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545FC0E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EB9E5F">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2497B80">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97FE9D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12CB8F">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A41AE4">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7C725A6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C4CF73E">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AE5A7C">
            <w:pPr>
              <w:widowControl/>
              <w:shd w:val="clear" w:color="auto" w:fill="FFFFFF"/>
              <w:adjustRightInd w:val="0"/>
              <w:snapToGrid w:val="0"/>
              <w:spacing w:after="0" w:line="36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3C79DA48">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7F91E25B">
      <w:pPr>
        <w:widowControl/>
        <w:shd w:val="clear" w:color="auto" w:fill="FFFFFF"/>
        <w:spacing w:after="0" w:line="360" w:lineRule="auto"/>
        <w:ind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1D8DA5D0">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33A2B6FC">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4C9AB3CC">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郭</w:t>
      </w:r>
      <w:r>
        <w:rPr>
          <w:rFonts w:hint="eastAsia" w:ascii="仿宋_GB2312" w:hAnsi="仿宋_GB2312" w:eastAsia="仿宋_GB2312" w:cs="仿宋_GB2312"/>
          <w:bCs/>
          <w:color w:val="000000"/>
          <w:kern w:val="0"/>
          <w:sz w:val="32"/>
          <w:szCs w:val="32"/>
          <w:shd w:val="clear" w:color="auto" w:fill="FFFFFF"/>
        </w:rPr>
        <w:t>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lang w:val="en-US" w:eastAsia="zh-CN"/>
        </w:rPr>
        <w:t>郑工</w:t>
      </w:r>
    </w:p>
    <w:p w14:paraId="10B93D88">
      <w:pPr>
        <w:pStyle w:val="12"/>
        <w:spacing w:after="0" w:line="360" w:lineRule="auto"/>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0F72AF1B">
      <w:pPr>
        <w:widowControl/>
        <w:shd w:val="clear" w:color="auto" w:fill="FFFFFF"/>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Spec="center" w:tblpY="283"/>
        <w:tblOverlap w:val="never"/>
        <w:tblW w:w="8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1"/>
        <w:gridCol w:w="3178"/>
        <w:gridCol w:w="1590"/>
        <w:gridCol w:w="1756"/>
      </w:tblGrid>
      <w:tr w14:paraId="2F95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2041" w:type="dxa"/>
            <w:vAlign w:val="top"/>
          </w:tcPr>
          <w:p w14:paraId="1BF6A6C6">
            <w:pPr>
              <w:widowControl/>
              <w:spacing w:after="0" w:line="360" w:lineRule="auto"/>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178" w:type="dxa"/>
            <w:vAlign w:val="top"/>
          </w:tcPr>
          <w:p w14:paraId="734BD9A1">
            <w:pPr>
              <w:widowControl/>
              <w:spacing w:after="0" w:line="360" w:lineRule="auto"/>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top"/>
          </w:tcPr>
          <w:p w14:paraId="3CE31F64">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756" w:type="dxa"/>
            <w:vAlign w:val="top"/>
          </w:tcPr>
          <w:p w14:paraId="2E00666A">
            <w:pPr>
              <w:widowControl/>
              <w:spacing w:after="0"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26670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2041" w:type="dxa"/>
            <w:vAlign w:val="center"/>
          </w:tcPr>
          <w:p w14:paraId="167FC33C">
            <w:pPr>
              <w:widowControl/>
              <w:spacing w:after="0" w:line="360" w:lineRule="auto"/>
              <w:jc w:val="center"/>
              <w:rPr>
                <w:rFonts w:ascii="仿宋_GB2312" w:hAnsi="仿宋_GB2312" w:eastAsia="仿宋_GB2312" w:cs="仿宋_GB2312"/>
                <w:sz w:val="32"/>
                <w:szCs w:val="32"/>
              </w:rPr>
            </w:pPr>
            <w:r>
              <w:rPr>
                <w:rFonts w:hint="eastAsia" w:ascii="宋体" w:hAnsi="宋体" w:cs="宋体"/>
                <w:b/>
                <w:bCs/>
                <w:color w:val="000000"/>
                <w:kern w:val="0"/>
                <w:sz w:val="24"/>
              </w:rPr>
              <w:t>（一）</w:t>
            </w:r>
          </w:p>
        </w:tc>
        <w:tc>
          <w:tcPr>
            <w:tcW w:w="3178" w:type="dxa"/>
            <w:vAlign w:val="center"/>
          </w:tcPr>
          <w:p w14:paraId="1748BD7E">
            <w:pPr>
              <w:spacing w:after="0"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医用手持终端（PDA）</w:t>
            </w:r>
          </w:p>
        </w:tc>
        <w:tc>
          <w:tcPr>
            <w:tcW w:w="1590" w:type="dxa"/>
            <w:vAlign w:val="center"/>
          </w:tcPr>
          <w:p w14:paraId="1FE07D27">
            <w:pPr>
              <w:spacing w:after="0"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150(暂定)</w:t>
            </w:r>
          </w:p>
        </w:tc>
        <w:tc>
          <w:tcPr>
            <w:tcW w:w="1756" w:type="dxa"/>
            <w:vAlign w:val="center"/>
          </w:tcPr>
          <w:p w14:paraId="46C703FA">
            <w:pPr>
              <w:spacing w:after="0" w:line="360" w:lineRule="auto"/>
              <w:jc w:val="center"/>
              <w:rPr>
                <w:rFonts w:hint="default" w:ascii="宋体" w:hAnsi="宋体" w:cs="宋体"/>
                <w:kern w:val="0"/>
                <w:sz w:val="24"/>
                <w:lang w:val="en-US"/>
              </w:rPr>
            </w:pPr>
            <w:r>
              <w:rPr>
                <w:rFonts w:hint="eastAsia" w:ascii="宋体" w:hAnsi="宋体" w:cs="宋体"/>
                <w:kern w:val="0"/>
                <w:sz w:val="24"/>
                <w:lang w:val="en-US" w:eastAsia="zh-CN"/>
              </w:rPr>
              <w:t>105</w:t>
            </w:r>
          </w:p>
        </w:tc>
      </w:tr>
    </w:tbl>
    <w:p w14:paraId="340FDF49"/>
    <w:p w14:paraId="443E0721">
      <w:pPr>
        <w:keepNext/>
        <w:widowControl/>
        <w:shd w:val="clear" w:color="auto" w:fill="FFFFFF"/>
        <w:autoSpaceDE w:val="0"/>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二、技术功能及服务要求（以“★”标示的内容为不允许负偏离的实质性要求）</w:t>
      </w:r>
    </w:p>
    <w:p w14:paraId="02DA5C2E">
      <w:pPr>
        <w:pStyle w:val="12"/>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tbl>
      <w:tblPr>
        <w:tblStyle w:val="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850"/>
        <w:gridCol w:w="6379"/>
      </w:tblGrid>
      <w:tr w14:paraId="28A3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23AFCF7C">
            <w:pPr>
              <w:snapToGrid w:val="0"/>
              <w:spacing w:after="0" w:line="360" w:lineRule="auto"/>
              <w:jc w:val="center"/>
              <w:rPr>
                <w:rFonts w:ascii="宋体" w:hAnsi="宋体" w:cs="宋体"/>
                <w:b/>
                <w:bCs/>
                <w:kern w:val="0"/>
                <w:sz w:val="24"/>
              </w:rPr>
            </w:pPr>
            <w:r>
              <w:rPr>
                <w:rFonts w:hint="eastAsia" w:ascii="宋体" w:hAnsi="宋体" w:cs="宋体"/>
                <w:b/>
                <w:bCs/>
                <w:kern w:val="0"/>
                <w:sz w:val="24"/>
              </w:rPr>
              <w:t>序号</w:t>
            </w:r>
          </w:p>
        </w:tc>
        <w:tc>
          <w:tcPr>
            <w:tcW w:w="1418" w:type="dxa"/>
            <w:vAlign w:val="center"/>
          </w:tcPr>
          <w:p w14:paraId="46571117">
            <w:pPr>
              <w:snapToGrid w:val="0"/>
              <w:spacing w:after="0" w:line="360" w:lineRule="auto"/>
              <w:jc w:val="center"/>
              <w:rPr>
                <w:rFonts w:ascii="宋体" w:hAnsi="宋体" w:cs="宋体"/>
                <w:b/>
                <w:bCs/>
                <w:kern w:val="0"/>
                <w:sz w:val="24"/>
              </w:rPr>
            </w:pPr>
            <w:r>
              <w:rPr>
                <w:rFonts w:hint="eastAsia" w:ascii="宋体" w:hAnsi="宋体" w:cs="宋体"/>
                <w:b/>
                <w:bCs/>
                <w:kern w:val="0"/>
                <w:sz w:val="24"/>
              </w:rPr>
              <w:t>项目</w:t>
            </w:r>
          </w:p>
        </w:tc>
        <w:tc>
          <w:tcPr>
            <w:tcW w:w="850" w:type="dxa"/>
            <w:vAlign w:val="center"/>
          </w:tcPr>
          <w:p w14:paraId="78858F28">
            <w:pPr>
              <w:snapToGrid w:val="0"/>
              <w:spacing w:after="0" w:line="360" w:lineRule="auto"/>
              <w:jc w:val="center"/>
              <w:rPr>
                <w:rFonts w:ascii="宋体" w:hAnsi="宋体" w:cs="宋体"/>
                <w:b/>
                <w:bCs/>
                <w:kern w:val="0"/>
                <w:sz w:val="24"/>
              </w:rPr>
            </w:pPr>
            <w:r>
              <w:rPr>
                <w:rFonts w:hint="eastAsia" w:ascii="宋体" w:hAnsi="宋体" w:cs="宋体"/>
                <w:b/>
                <w:bCs/>
                <w:kern w:val="0"/>
                <w:sz w:val="24"/>
              </w:rPr>
              <w:t>数量</w:t>
            </w:r>
          </w:p>
        </w:tc>
        <w:tc>
          <w:tcPr>
            <w:tcW w:w="6379" w:type="dxa"/>
            <w:vAlign w:val="center"/>
          </w:tcPr>
          <w:p w14:paraId="4BF0D4CB">
            <w:pPr>
              <w:snapToGrid w:val="0"/>
              <w:spacing w:after="0" w:line="360" w:lineRule="auto"/>
              <w:jc w:val="center"/>
              <w:rPr>
                <w:rFonts w:ascii="宋体" w:hAnsi="宋体" w:cs="宋体"/>
                <w:b/>
                <w:bCs/>
                <w:kern w:val="0"/>
                <w:sz w:val="24"/>
              </w:rPr>
            </w:pPr>
            <w:r>
              <w:rPr>
                <w:rFonts w:hint="eastAsia" w:ascii="宋体" w:hAnsi="宋体" w:cs="宋体"/>
                <w:b/>
                <w:bCs/>
                <w:kern w:val="0"/>
                <w:sz w:val="24"/>
              </w:rPr>
              <w:t>技术参数要求</w:t>
            </w:r>
          </w:p>
        </w:tc>
      </w:tr>
      <w:tr w14:paraId="0014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9" w:type="dxa"/>
            <w:vAlign w:val="center"/>
          </w:tcPr>
          <w:p w14:paraId="7B964029">
            <w:pPr>
              <w:snapToGrid w:val="0"/>
              <w:spacing w:after="0" w:line="360" w:lineRule="auto"/>
              <w:jc w:val="center"/>
              <w:rPr>
                <w:rFonts w:ascii="宋体" w:hAnsi="宋体" w:cs="宋体"/>
                <w:kern w:val="0"/>
                <w:sz w:val="24"/>
              </w:rPr>
            </w:pPr>
            <w:r>
              <w:rPr>
                <w:rFonts w:hint="eastAsia" w:ascii="宋体" w:hAnsi="宋体" w:cs="宋体"/>
                <w:kern w:val="0"/>
                <w:sz w:val="24"/>
              </w:rPr>
              <w:t>1</w:t>
            </w:r>
          </w:p>
        </w:tc>
        <w:tc>
          <w:tcPr>
            <w:tcW w:w="1418" w:type="dxa"/>
            <w:vAlign w:val="center"/>
          </w:tcPr>
          <w:p w14:paraId="1A9641E3">
            <w:pPr>
              <w:snapToGrid w:val="0"/>
              <w:spacing w:after="0" w:line="360" w:lineRule="auto"/>
              <w:jc w:val="center"/>
              <w:rPr>
                <w:rFonts w:hint="default" w:ascii="宋体" w:hAnsi="宋体" w:eastAsia="宋体" w:cs="宋体"/>
                <w:kern w:val="0"/>
                <w:sz w:val="24"/>
                <w:lang w:val="en-US" w:eastAsia="zh-CN"/>
              </w:rPr>
            </w:pPr>
            <w:r>
              <w:rPr>
                <w:rFonts w:hint="eastAsia" w:ascii="仿宋_GB2312" w:hAnsi="仿宋_GB2312" w:eastAsia="仿宋_GB2312" w:cs="仿宋_GB2312"/>
                <w:color w:val="000000"/>
                <w:kern w:val="0"/>
                <w:sz w:val="28"/>
                <w:szCs w:val="28"/>
                <w:lang w:val="en-US" w:eastAsia="zh-CN"/>
              </w:rPr>
              <w:t>医用手持终端（PDA）</w:t>
            </w:r>
          </w:p>
        </w:tc>
        <w:tc>
          <w:tcPr>
            <w:tcW w:w="850" w:type="dxa"/>
            <w:vAlign w:val="center"/>
          </w:tcPr>
          <w:p w14:paraId="7213168B">
            <w:pPr>
              <w:snapToGrid w:val="0"/>
              <w:spacing w:after="0" w:line="360" w:lineRule="auto"/>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val="en-US" w:eastAsia="zh-CN"/>
              </w:rPr>
              <w:t>批</w:t>
            </w:r>
          </w:p>
        </w:tc>
        <w:tc>
          <w:tcPr>
            <w:tcW w:w="6379" w:type="dxa"/>
            <w:vAlign w:val="top"/>
          </w:tcPr>
          <w:p w14:paraId="35B8A904">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处理器 ≥八核2.0GHz高性能处理器</w:t>
            </w:r>
          </w:p>
          <w:p w14:paraId="52DA3E9E">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操作系统 Android 11或以上</w:t>
            </w:r>
          </w:p>
          <w:p w14:paraId="7B8EE4B3">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储存器 64GB ROM+4GB RAM，最大可支持256G外部储存</w:t>
            </w:r>
          </w:p>
          <w:p w14:paraId="479DA459">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显示 5.2-5.5英寸</w:t>
            </w:r>
          </w:p>
          <w:p w14:paraId="794DA3C8">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分辨率 ≥1440*720</w:t>
            </w:r>
          </w:p>
          <w:p w14:paraId="3FBBE163">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摄像头 800万像素前置摄像头，1600万像素后置摄像头，支持自动对焦</w:t>
            </w:r>
          </w:p>
          <w:p w14:paraId="318BDD89">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 xml:space="preserve">电池 </w:t>
            </w:r>
            <w:r>
              <w:rPr>
                <w:rFonts w:hint="default"/>
                <w:sz w:val="24"/>
                <w:szCs w:val="24"/>
                <w:lang w:val="en-US" w:eastAsia="zh-CN"/>
              </w:rPr>
              <w:t>≥4500mAh锂离子电池，为便于后期更换，电池可免工具直接拆卸并更换，电池盖锁扣方式专利</w:t>
            </w:r>
          </w:p>
          <w:p w14:paraId="7D01BD8B">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充电 支持QC 3.0快充</w:t>
            </w:r>
          </w:p>
          <w:p w14:paraId="73FA7A6D">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触摸 工业级电容触控屏，支持戴手套触控</w:t>
            </w:r>
          </w:p>
          <w:p w14:paraId="4880C985">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提示 大功率喇叭/振动提示/LED提示/音频提示</w:t>
            </w:r>
          </w:p>
          <w:p w14:paraId="6EA2012B">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接口 Type-C的USB 接口</w:t>
            </w:r>
          </w:p>
          <w:p w14:paraId="697524FE">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重量 ≤260g（含电池）</w:t>
            </w:r>
          </w:p>
          <w:p w14:paraId="6F9E3AA6">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条码引擎 支持国际通用的一维条码与二维条码，扫描引擎与所投设备品牌一致，并具有扫描引擎专利证书与外观专利证书</w:t>
            </w:r>
          </w:p>
          <w:p w14:paraId="035BA053">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防护等级 IP68或以上</w:t>
            </w:r>
          </w:p>
          <w:p w14:paraId="7B116AA8">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外壳材料 医疗白色专用抑菌材料，可耐受医用酒精、过氧化氢、丙乙醇、聚维酮碘等医院常用消毒剂</w:t>
            </w:r>
          </w:p>
          <w:p w14:paraId="6BB9E6A7">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键盘 触控屏+功能键，不带数字和字母键盘；功能键：音量上调/下调键、左右扫描键、电源键；具备虚拟触控式返回键、菜单键，主页键；屏幕下方无实体按键以防渗液</w:t>
            </w:r>
          </w:p>
          <w:p w14:paraId="31A30D0A">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指纹识别 可选支持指纹识别，便于身份识别，登录账户</w:t>
            </w:r>
          </w:p>
          <w:p w14:paraId="39227B6C">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WLAN IEEE 802.11 a/b/g/n/ac/ax/ready/d/e/h/ i/k/ r/u/w /v , 2X2 MU-MIMO，支持快速漫游</w:t>
            </w:r>
          </w:p>
          <w:p w14:paraId="380AA123">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蓝牙 Bluetooth V5.1</w:t>
            </w:r>
          </w:p>
          <w:p w14:paraId="79A980CE">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抗跌落能力 能承受不低于 1.5 米水泥地面的跌落冲击</w:t>
            </w:r>
          </w:p>
          <w:p w14:paraId="28124435">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电池续航 电池连续工作时间≥16小时（非待机时间）</w:t>
            </w:r>
          </w:p>
          <w:p w14:paraId="11F06A7F">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售后服务 主机保修三年（含屏幕更换服务，电池随机保修一年），需出具原厂售后服务承诺函</w:t>
            </w:r>
          </w:p>
          <w:p w14:paraId="1080AF9E">
            <w:pPr>
              <w:numPr>
                <w:ilvl w:val="0"/>
                <w:numId w:val="1"/>
              </w:numPr>
              <w:spacing w:after="0" w:line="360" w:lineRule="auto"/>
              <w:ind w:leftChars="0"/>
              <w:jc w:val="left"/>
              <w:rPr>
                <w:rFonts w:hint="default"/>
                <w:sz w:val="24"/>
                <w:szCs w:val="24"/>
                <w:lang w:val="en-US" w:eastAsia="zh-CN"/>
              </w:rPr>
            </w:pPr>
            <w:r>
              <w:rPr>
                <w:rFonts w:hint="eastAsia"/>
                <w:sz w:val="24"/>
                <w:szCs w:val="24"/>
                <w:lang w:val="en-US" w:eastAsia="zh-CN"/>
              </w:rPr>
              <w:t>快速部署 支持通过扫描二维码的方式快速部署应用软件安装</w:t>
            </w:r>
          </w:p>
          <w:p w14:paraId="57B0A3D0">
            <w:pPr>
              <w:numPr>
                <w:ilvl w:val="0"/>
                <w:numId w:val="1"/>
              </w:numPr>
              <w:spacing w:after="0" w:line="360" w:lineRule="auto"/>
              <w:ind w:leftChars="0"/>
              <w:jc w:val="left"/>
              <w:rPr>
                <w:rFonts w:hint="default"/>
                <w:lang w:val="en-US" w:eastAsia="zh-CN"/>
              </w:rPr>
            </w:pPr>
            <w:r>
              <w:rPr>
                <w:rFonts w:hint="eastAsia"/>
                <w:sz w:val="24"/>
                <w:szCs w:val="24"/>
                <w:lang w:val="en-US" w:eastAsia="zh-CN"/>
              </w:rPr>
              <w:t>设备管理 附带PDA管理平台，具备设备管理功能。可远程推送软件或擦除数据；可无线远程控制和实时远程查看，便于管理者更迅速的了解设备状况，及时解决问题。</w:t>
            </w:r>
          </w:p>
        </w:tc>
      </w:tr>
      <w:tr w14:paraId="583D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56" w:type="dxa"/>
            <w:gridSpan w:val="4"/>
            <w:vAlign w:val="center"/>
          </w:tcPr>
          <w:p w14:paraId="211412C7">
            <w:pPr>
              <w:numPr>
                <w:numId w:val="0"/>
              </w:numPr>
              <w:spacing w:after="0" w:line="360" w:lineRule="auto"/>
              <w:jc w:val="left"/>
              <w:rPr>
                <w:rFonts w:hint="eastAsia"/>
                <w:sz w:val="24"/>
                <w:szCs w:val="24"/>
                <w:lang w:val="en-US" w:eastAsia="zh-CN"/>
              </w:rPr>
            </w:pPr>
            <w:r>
              <w:rPr>
                <w:rFonts w:hint="eastAsia"/>
                <w:sz w:val="24"/>
                <w:szCs w:val="24"/>
                <w:lang w:val="en-US" w:eastAsia="zh-CN"/>
              </w:rPr>
              <w:t>备注：本项目具体采购数量以采购人实际采购需求为准，投标文件中报价须含总价及单价</w:t>
            </w:r>
          </w:p>
        </w:tc>
      </w:tr>
    </w:tbl>
    <w:p w14:paraId="12374A32">
      <w:pPr>
        <w:numPr>
          <w:ilvl w:val="0"/>
          <w:numId w:val="2"/>
        </w:numPr>
        <w:spacing w:after="0"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14:paraId="0017B99B">
      <w:pPr>
        <w:pStyle w:val="16"/>
        <w:spacing w:before="0" w:beforeAutospacing="0" w:after="0" w:afterAutospacing="0" w:line="480" w:lineRule="atLeast"/>
        <w:ind w:firstLine="640"/>
        <w:jc w:val="both"/>
      </w:pPr>
      <w:r>
        <w:rPr>
          <w:rStyle w:val="18"/>
          <w:rFonts w:hint="eastAsia" w:ascii="仿宋_GB2312" w:eastAsia="仿宋_GB2312"/>
          <w:sz w:val="32"/>
          <w:szCs w:val="32"/>
        </w:rPr>
        <w:t>1、本项目为</w:t>
      </w:r>
      <w:r>
        <w:rPr>
          <w:rStyle w:val="18"/>
          <w:rFonts w:hint="eastAsia" w:ascii="仿宋_GB2312" w:eastAsia="仿宋_GB2312"/>
          <w:sz w:val="32"/>
          <w:szCs w:val="32"/>
          <w:lang w:val="en-US" w:eastAsia="zh-CN"/>
        </w:rPr>
        <w:t>国产品牌</w:t>
      </w:r>
      <w:r>
        <w:rPr>
          <w:rStyle w:val="18"/>
          <w:rFonts w:hint="eastAsia" w:ascii="仿宋_GB2312" w:eastAsia="仿宋_GB2312"/>
          <w:sz w:val="32"/>
          <w:szCs w:val="32"/>
        </w:rPr>
        <w:t>，设备安装、系统集成、软件客户化均由乙方负责。提供设备</w:t>
      </w:r>
      <w:r>
        <w:rPr>
          <w:rStyle w:val="18"/>
          <w:rFonts w:hint="eastAsia" w:ascii="仿宋_GB2312" w:eastAsia="仿宋_GB2312"/>
          <w:sz w:val="32"/>
          <w:szCs w:val="32"/>
          <w:lang w:val="en-US" w:eastAsia="zh-CN"/>
        </w:rPr>
        <w:t>软硬件安装</w:t>
      </w:r>
      <w:r>
        <w:rPr>
          <w:rStyle w:val="18"/>
          <w:rFonts w:hint="eastAsia" w:ascii="仿宋_GB2312" w:eastAsia="仿宋_GB2312"/>
          <w:sz w:val="32"/>
          <w:szCs w:val="32"/>
        </w:rPr>
        <w:t>工作，同时结合医院现有设备及应用情况，实施现有及本项目规划、等保安全、系统集成、协助完成医院评审工作包括但不限于三级等保评审、电子病历评审、互联互通评审等各项工作。</w:t>
      </w:r>
    </w:p>
    <w:p w14:paraId="452BD57D">
      <w:pPr>
        <w:pStyle w:val="12"/>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2.本项目涉及的设备安装调试并经验收合格后，应对采购方的相关人员提供关于系统应用时技术和操作方面的培训。相关培训费用应包含在投标总价中。</w:t>
      </w:r>
    </w:p>
    <w:p w14:paraId="1DFC624E">
      <w:pPr>
        <w:pStyle w:val="12"/>
        <w:numPr>
          <w:ilvl w:val="0"/>
          <w:numId w:val="2"/>
        </w:numPr>
        <w:spacing w:after="0" w:line="360" w:lineRule="auto"/>
        <w:rPr>
          <w:rFonts w:ascii="仿宋_GB2312" w:hAnsi="仿宋_GB2312" w:cs="仿宋_GB2312"/>
          <w:b/>
          <w:bCs/>
          <w:sz w:val="32"/>
          <w:szCs w:val="32"/>
        </w:rPr>
      </w:pPr>
      <w:r>
        <w:rPr>
          <w:rFonts w:hint="eastAsia" w:ascii="仿宋_GB2312" w:hAnsi="仿宋_GB2312" w:cs="仿宋_GB2312"/>
          <w:b/>
          <w:bCs/>
          <w:sz w:val="32"/>
          <w:szCs w:val="32"/>
        </w:rPr>
        <w:t>调研说明</w:t>
      </w:r>
    </w:p>
    <w:p w14:paraId="06A6A7B4">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报名参加本次调研的供应商、厂家需提供如下相关资料。</w:t>
      </w:r>
    </w:p>
    <w:p w14:paraId="0D648193">
      <w:pPr>
        <w:widowControl/>
        <w:numPr>
          <w:ilvl w:val="0"/>
          <w:numId w:val="3"/>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报名时请携带加盖公章的项目文件回执单、营业执照复印件、公司简介（可含提供设备彩页等）。</w:t>
      </w:r>
    </w:p>
    <w:p w14:paraId="13B40ED1">
      <w:pPr>
        <w:widowControl/>
        <w:shd w:val="clear" w:color="auto" w:fill="FFFFFF"/>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2、参与项目调研供应商代表的个人授权函（需加盖供应商公章）和身份证复印件。</w:t>
      </w:r>
    </w:p>
    <w:p w14:paraId="5035A4D3">
      <w:pPr>
        <w:widowControl/>
        <w:shd w:val="clear" w:color="auto" w:fill="FFFFFF"/>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3、分别提供“信用中国”网站（www.creditchina.gov.cn）、“中国政府采购网”网站（http://www.ccgp.gov.cn/search/cr/）信用记录查询截图，无不良记录并加盖公章（截图查询日期必须在该公告日期内）。</w:t>
      </w:r>
    </w:p>
    <w:p w14:paraId="11E8FFD5">
      <w:pPr>
        <w:pStyle w:val="12"/>
        <w:numPr>
          <w:ilvl w:val="0"/>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4、提供业绩清单及近3年省内同类项目中标书</w:t>
      </w:r>
    </w:p>
    <w:p w14:paraId="08806B2F">
      <w:pPr>
        <w:pStyle w:val="12"/>
        <w:numPr>
          <w:ilvl w:val="0"/>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5、本调研会的报价仅做为本项目公开招标的预算限价；不做参与投标的限制条件；</w:t>
      </w:r>
    </w:p>
    <w:p w14:paraId="05BB2D73">
      <w:pPr>
        <w:pStyle w:val="12"/>
        <w:numPr>
          <w:ilvl w:val="0"/>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6、上述各参数将做为本项目招标的主要参数，不代表本项目公开招标的最终参数；</w:t>
      </w:r>
    </w:p>
    <w:p w14:paraId="73514969">
      <w:pPr>
        <w:pStyle w:val="12"/>
        <w:spacing w:after="0" w:line="360" w:lineRule="auto"/>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0A5034A5">
      <w:pPr>
        <w:pStyle w:val="12"/>
        <w:spacing w:after="0" w:line="360" w:lineRule="auto"/>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8、</w:t>
      </w:r>
      <w:bookmarkStart w:id="0" w:name="_GoBack"/>
      <w:r>
        <w:rPr>
          <w:rFonts w:hint="eastAsia" w:ascii="仿宋_GB2312" w:hAnsi="仿宋_GB2312" w:eastAsia="仿宋_GB2312" w:cs="仿宋_GB2312"/>
          <w:color w:val="auto"/>
          <w:kern w:val="0"/>
          <w:sz w:val="32"/>
          <w:szCs w:val="32"/>
          <w:lang w:val="en-US" w:eastAsia="zh-CN" w:bidi="ar-SA"/>
        </w:rPr>
        <w:t>采购调研文件</w:t>
      </w:r>
      <w:bookmarkEnd w:id="0"/>
      <w:r>
        <w:rPr>
          <w:rFonts w:hint="eastAsia" w:ascii="仿宋_GB2312" w:hAnsi="仿宋_GB2312" w:cs="仿宋_GB2312"/>
          <w:color w:val="auto"/>
          <w:kern w:val="0"/>
          <w:sz w:val="32"/>
          <w:szCs w:val="32"/>
          <w:lang w:val="en-US" w:eastAsia="zh-CN" w:bidi="ar-SA"/>
        </w:rPr>
        <w:t>正本壹份,副本叁份胶装并密封加盖投标人公章。投标文件未胶装将视为无效。</w:t>
      </w:r>
    </w:p>
    <w:p w14:paraId="4FA1200F">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br w:type="page"/>
      </w:r>
    </w:p>
    <w:p w14:paraId="182D95DF">
      <w:pPr>
        <w:shd w:val="solid" w:color="FFFFFF" w:fill="auto"/>
        <w:autoSpaceDN w:val="0"/>
        <w:spacing w:after="0" w:line="360" w:lineRule="auto"/>
        <w:jc w:val="center"/>
        <w:rPr>
          <w:rFonts w:ascii="仿宋_GB2312" w:hAnsi="仿宋_GB2312" w:eastAsia="仿宋_GB2312" w:cs="仿宋_GB2312"/>
          <w:b/>
          <w:color w:val="000000"/>
          <w:sz w:val="32"/>
          <w:szCs w:val="32"/>
          <w:shd w:val="clear" w:color="auto" w:fill="FFFFFF"/>
        </w:rPr>
      </w:pPr>
    </w:p>
    <w:p w14:paraId="5FF6BBF4">
      <w:pPr>
        <w:shd w:val="solid" w:color="FFFFFF" w:fill="auto"/>
        <w:autoSpaceDN w:val="0"/>
        <w:spacing w:after="0" w:line="360" w:lineRule="auto"/>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2E3EACA9">
      <w:pPr>
        <w:shd w:val="solid" w:color="FFFFFF" w:fill="auto"/>
        <w:autoSpaceDN w:val="0"/>
        <w:spacing w:after="0"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7FDABB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98A9098">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8A3F003">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0D4A863">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A2E9E3">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37BB7B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71426E3">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1712379">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D7A307D">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E7192E9">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r w14:paraId="3F025A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90482A9">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03DA521">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07C274E">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11A2189">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bl>
    <w:p w14:paraId="72EEE252">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14:paraId="2D173594">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14:paraId="67E42817">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28E9F700">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43F692D3">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0177F9E2">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2BEF288D">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14:paraId="1EA44A5E">
      <w:pPr>
        <w:pStyle w:val="12"/>
        <w:spacing w:after="0" w:line="360" w:lineRule="auto"/>
        <w:rPr>
          <w:rFonts w:ascii="仿宋_GB2312" w:hAnsi="仿宋_GB2312" w:cs="仿宋_GB2312"/>
          <w:bCs/>
          <w:sz w:val="32"/>
          <w:szCs w:val="32"/>
          <w:shd w:val="clear" w:color="auto" w:fill="FFFFFF"/>
        </w:rPr>
      </w:pPr>
    </w:p>
    <w:p w14:paraId="42690429">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00528547">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47A9">
    <w:pPr>
      <w:pStyle w:val="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671786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14:paraId="671786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2296E"/>
    <w:multiLevelType w:val="singleLevel"/>
    <w:tmpl w:val="A492296E"/>
    <w:lvl w:ilvl="0" w:tentative="0">
      <w:start w:val="1"/>
      <w:numFmt w:val="decimal"/>
      <w:lvlText w:val="%1."/>
      <w:lvlJc w:val="left"/>
      <w:pPr>
        <w:tabs>
          <w:tab w:val="left" w:pos="312"/>
        </w:tabs>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abstractNum w:abstractNumId="2">
    <w:nsid w:val="67B4397F"/>
    <w:multiLevelType w:val="singleLevel"/>
    <w:tmpl w:val="67B4397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03D45D33"/>
    <w:rsid w:val="06AB3EF9"/>
    <w:rsid w:val="073366F3"/>
    <w:rsid w:val="24551637"/>
    <w:rsid w:val="2B6F0EB1"/>
    <w:rsid w:val="3BC417E3"/>
    <w:rsid w:val="447D605D"/>
    <w:rsid w:val="48167DDB"/>
    <w:rsid w:val="595B78AC"/>
    <w:rsid w:val="59B241EC"/>
    <w:rsid w:val="5CF60EE0"/>
    <w:rsid w:val="5D0921C1"/>
    <w:rsid w:val="61E227D3"/>
    <w:rsid w:val="6E090AF8"/>
    <w:rsid w:val="7C263D3B"/>
    <w:rsid w:val="7F6376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字符"/>
    <w:link w:val="7"/>
    <w:qFormat/>
    <w:uiPriority w:val="0"/>
    <w:rPr>
      <w:rFonts w:ascii="Calibri" w:hAnsi="Calibri" w:cs="黑体"/>
      <w:kern w:val="2"/>
      <w:sz w:val="18"/>
      <w:szCs w:val="18"/>
    </w:rPr>
  </w:style>
  <w:style w:type="character" w:customStyle="1" w:styleId="18">
    <w:name w:val="b-free-read-leaf"/>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1629</Words>
  <Characters>1932</Characters>
  <Lines>26</Lines>
  <Paragraphs>7</Paragraphs>
  <TotalTime>1</TotalTime>
  <ScaleCrop>false</ScaleCrop>
  <LinksUpToDate>false</LinksUpToDate>
  <CharactersWithSpaces>2103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郑薇</cp:lastModifiedBy>
  <cp:lastPrinted>2026-01-14T06:47:00Z</cp:lastPrinted>
  <dcterms:modified xsi:type="dcterms:W3CDTF">2026-03-03T01:47:41Z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CB1A7F9F6AA24DF48A3E3B7973F34B3C_13</vt:lpwstr>
  </property>
  <property fmtid="{D5CDD505-2E9C-101B-9397-08002B2CF9AE}" pid="4" name="KSOTemplateDocerSaveRecord">
    <vt:lpwstr>eyJoZGlkIjoiNzRlNzZiNjE1N2NiNDY1MjdjNTllOWUxMWU4Y2ZiZGQiLCJ1c2VySWQiOiIxNzAyMzQ4MDU4In0=</vt:lpwstr>
  </property>
</Properties>
</file>