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360" w:lineRule="auto"/>
        <w:jc w:val="center"/>
        <w:rPr>
          <w:rFonts w:hint="eastAsia" w:ascii="仿宋_GB2312" w:hAnsi="仿宋_GB2312" w:eastAsia="方正小标宋简体" w:cs="仿宋_GB2312"/>
          <w:b w:val="0"/>
          <w:kern w:val="2"/>
          <w:sz w:val="32"/>
          <w:szCs w:val="32"/>
        </w:rPr>
      </w:pPr>
      <w:r>
        <w:rPr>
          <w:rFonts w:hint="eastAsia" w:ascii="方正小标宋简体" w:hAnsi="方正小标宋简体" w:eastAsia="方正小标宋简体" w:cs="方正小标宋简体"/>
          <w:b w:val="0"/>
          <w:kern w:val="2"/>
          <w:szCs w:val="44"/>
        </w:rPr>
        <w:t>福建省肿瘤医院</w:t>
      </w:r>
      <w:r>
        <w:rPr>
          <w:rFonts w:hint="eastAsia" w:ascii="方正小标宋简体" w:hAnsi="方正小标宋简体" w:eastAsia="方正小标宋简体" w:cs="方正小标宋简体"/>
          <w:b w:val="0"/>
          <w:kern w:val="2"/>
          <w:szCs w:val="44"/>
          <w:lang w:val="en-US" w:eastAsia="zh-CN"/>
        </w:rPr>
        <w:t>采购</w:t>
      </w:r>
      <w:r>
        <w:rPr>
          <w:rFonts w:hint="eastAsia" w:ascii="方正小标宋简体" w:hAnsi="方正小标宋简体" w:eastAsia="方正小标宋简体" w:cs="方正小标宋简体"/>
          <w:b w:val="0"/>
          <w:kern w:val="2"/>
          <w:szCs w:val="44"/>
        </w:rPr>
        <w:t>调研公告</w:t>
      </w:r>
    </w:p>
    <w:p>
      <w:pPr>
        <w:widowControl/>
        <w:shd w:val="clear" w:color="auto" w:fill="FFFFFF"/>
        <w:adjustRightInd w:val="0"/>
        <w:snapToGrid w:val="0"/>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b/>
          <w:color w:val="000000"/>
          <w:kern w:val="0"/>
          <w:sz w:val="32"/>
          <w:szCs w:val="32"/>
          <w:shd w:val="clear" w:color="auto" w:fill="FFFFFF"/>
        </w:rPr>
        <w:t>第一部分 须知前附表</w:t>
      </w:r>
    </w:p>
    <w:tbl>
      <w:tblPr>
        <w:tblStyle w:val="9"/>
        <w:tblpPr w:leftFromText="180" w:rightFromText="180" w:vertAnchor="text" w:horzAnchor="page" w:tblpX="1852" w:tblpY="337"/>
        <w:tblOverlap w:val="never"/>
        <w:tblW w:w="8745" w:type="dxa"/>
        <w:tblInd w:w="0" w:type="dxa"/>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
      <w:tblGrid>
        <w:gridCol w:w="964"/>
        <w:gridCol w:w="7781"/>
      </w:tblGrid>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549" w:hRule="atLeast"/>
        </w:trPr>
        <w:tc>
          <w:tcPr>
            <w:tcW w:w="96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7"/>
              <w:widowControl/>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b/>
                <w:color w:val="000000"/>
                <w:sz w:val="32"/>
                <w:szCs w:val="32"/>
              </w:rPr>
              <w:t>序号</w:t>
            </w:r>
          </w:p>
        </w:tc>
        <w:tc>
          <w:tcPr>
            <w:tcW w:w="7781" w:type="dxa"/>
            <w:tcBorders>
              <w:top w:val="single" w:color="000000" w:sz="8" w:space="0"/>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b/>
                <w:color w:val="000000"/>
                <w:kern w:val="0"/>
                <w:sz w:val="32"/>
                <w:szCs w:val="32"/>
              </w:rPr>
              <w:t>主　　　要　　　 内　　　 容</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90"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360" w:lineRule="auto"/>
              <w:jc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360" w:lineRule="auto"/>
              <w:rPr>
                <w:rFonts w:hint="default"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rPr>
              <w:t>项目名称：</w:t>
            </w:r>
            <w:r>
              <w:rPr>
                <w:rFonts w:hint="eastAsia" w:ascii="仿宋_GB2312" w:hAnsi="仿宋_GB2312" w:eastAsia="仿宋_GB2312" w:cs="仿宋_GB2312"/>
                <w:color w:val="000000"/>
                <w:kern w:val="0"/>
                <w:sz w:val="32"/>
                <w:szCs w:val="32"/>
                <w:lang w:val="en-US" w:eastAsia="zh-CN"/>
              </w:rPr>
              <w:t>AI算力服务器采购项目</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1444"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2</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spacing w:line="360" w:lineRule="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调研报名时间： 2025 </w:t>
            </w:r>
            <w:r>
              <w:rPr>
                <w:rFonts w:hint="eastAsia" w:ascii="仿宋_GB2312" w:hAnsi="仿宋_GB2312" w:eastAsia="仿宋_GB2312" w:cs="仿宋_GB2312"/>
                <w:color w:val="000000"/>
                <w:kern w:val="0"/>
                <w:sz w:val="32"/>
                <w:szCs w:val="32"/>
                <w:highlight w:val="none"/>
              </w:rPr>
              <w:t>年</w:t>
            </w:r>
            <w:r>
              <w:rPr>
                <w:rFonts w:hint="eastAsia" w:ascii="仿宋_GB2312" w:hAnsi="仿宋_GB2312" w:eastAsia="仿宋_GB2312" w:cs="仿宋_GB2312"/>
                <w:color w:val="000000"/>
                <w:kern w:val="0"/>
                <w:sz w:val="32"/>
                <w:szCs w:val="32"/>
                <w:highlight w:val="none"/>
                <w:u w:val="single"/>
                <w:lang w:val="en-US" w:eastAsia="zh-CN"/>
              </w:rPr>
              <w:t>11</w:t>
            </w:r>
            <w:r>
              <w:rPr>
                <w:rFonts w:hint="eastAsia" w:ascii="仿宋_GB2312" w:hAnsi="仿宋_GB2312" w:eastAsia="仿宋_GB2312" w:cs="仿宋_GB2312"/>
                <w:color w:val="000000"/>
                <w:kern w:val="0"/>
                <w:sz w:val="32"/>
                <w:szCs w:val="32"/>
                <w:highlight w:val="none"/>
              </w:rPr>
              <w:t>月</w:t>
            </w:r>
            <w:r>
              <w:rPr>
                <w:rFonts w:hint="eastAsia" w:ascii="仿宋_GB2312" w:hAnsi="仿宋_GB2312" w:eastAsia="仿宋_GB2312" w:cs="仿宋_GB2312"/>
                <w:color w:val="000000"/>
                <w:kern w:val="0"/>
                <w:sz w:val="32"/>
                <w:szCs w:val="32"/>
                <w:highlight w:val="none"/>
                <w:u w:val="single"/>
                <w:lang w:val="en-US" w:eastAsia="zh-CN"/>
              </w:rPr>
              <w:t>07</w:t>
            </w:r>
            <w:r>
              <w:rPr>
                <w:rFonts w:hint="eastAsia" w:ascii="仿宋_GB2312" w:hAnsi="仿宋_GB2312" w:eastAsia="仿宋_GB2312" w:cs="仿宋_GB2312"/>
                <w:color w:val="000000"/>
                <w:kern w:val="0"/>
                <w:sz w:val="32"/>
                <w:szCs w:val="32"/>
                <w:highlight w:val="none"/>
              </w:rPr>
              <w:t xml:space="preserve">日至 </w:t>
            </w:r>
            <w:r>
              <w:rPr>
                <w:rFonts w:hint="eastAsia" w:ascii="仿宋_GB2312" w:hAnsi="仿宋_GB2312" w:eastAsia="仿宋_GB2312" w:cs="仿宋_GB2312"/>
                <w:color w:val="000000"/>
                <w:kern w:val="0"/>
                <w:sz w:val="32"/>
                <w:szCs w:val="32"/>
                <w:highlight w:val="none"/>
                <w:u w:val="single"/>
                <w:lang w:val="en-US" w:eastAsia="zh-CN"/>
              </w:rPr>
              <w:t>11</w:t>
            </w:r>
            <w:r>
              <w:rPr>
                <w:rFonts w:hint="eastAsia" w:ascii="仿宋_GB2312" w:hAnsi="仿宋_GB2312" w:eastAsia="仿宋_GB2312" w:cs="仿宋_GB2312"/>
                <w:color w:val="000000"/>
                <w:kern w:val="0"/>
                <w:sz w:val="32"/>
                <w:szCs w:val="32"/>
                <w:highlight w:val="none"/>
              </w:rPr>
              <w:t>月</w:t>
            </w:r>
            <w:r>
              <w:rPr>
                <w:rFonts w:hint="eastAsia" w:ascii="仿宋_GB2312" w:hAnsi="仿宋_GB2312" w:eastAsia="仿宋_GB2312" w:cs="仿宋_GB2312"/>
                <w:color w:val="000000"/>
                <w:kern w:val="0"/>
                <w:sz w:val="32"/>
                <w:szCs w:val="32"/>
                <w:highlight w:val="none"/>
                <w:u w:val="single"/>
                <w:lang w:val="en-US" w:eastAsia="zh-CN"/>
              </w:rPr>
              <w:t>13</w:t>
            </w:r>
            <w:r>
              <w:rPr>
                <w:rFonts w:hint="eastAsia" w:ascii="仿宋_GB2312" w:hAnsi="仿宋_GB2312" w:eastAsia="仿宋_GB2312" w:cs="仿宋_GB2312"/>
                <w:color w:val="000000"/>
                <w:kern w:val="0"/>
                <w:sz w:val="32"/>
                <w:szCs w:val="32"/>
                <w:highlight w:val="none"/>
              </w:rPr>
              <w:t xml:space="preserve">日 </w:t>
            </w:r>
            <w:r>
              <w:rPr>
                <w:rFonts w:hint="eastAsia" w:ascii="仿宋_GB2312" w:hAnsi="仿宋_GB2312" w:eastAsia="仿宋_GB2312" w:cs="仿宋_GB2312"/>
                <w:color w:val="000000"/>
                <w:spacing w:val="-8"/>
                <w:kern w:val="0"/>
                <w:sz w:val="32"/>
                <w:szCs w:val="32"/>
                <w:shd w:val="clear" w:color="auto" w:fill="FFFFFF"/>
              </w:rPr>
              <w:t>(节假日除外)8：00-12：00或14：</w:t>
            </w:r>
            <w:r>
              <w:rPr>
                <w:rFonts w:hint="eastAsia" w:ascii="仿宋_GB2312" w:hAnsi="仿宋_GB2312" w:eastAsia="仿宋_GB2312" w:cs="仿宋_GB2312"/>
                <w:color w:val="000000"/>
                <w:spacing w:val="-8"/>
                <w:kern w:val="0"/>
                <w:sz w:val="32"/>
                <w:szCs w:val="32"/>
                <w:shd w:val="clear" w:color="auto" w:fill="FFFFFF"/>
                <w:lang w:val="en-US" w:eastAsia="zh-CN"/>
              </w:rPr>
              <w:t>0</w:t>
            </w:r>
            <w:r>
              <w:rPr>
                <w:rFonts w:hint="eastAsia" w:ascii="仿宋_GB2312" w:hAnsi="仿宋_GB2312" w:eastAsia="仿宋_GB2312" w:cs="仿宋_GB2312"/>
                <w:color w:val="000000"/>
                <w:spacing w:val="-8"/>
                <w:kern w:val="0"/>
                <w:sz w:val="32"/>
                <w:szCs w:val="32"/>
                <w:shd w:val="clear" w:color="auto" w:fill="FFFFFF"/>
              </w:rPr>
              <w:t>0-17：</w:t>
            </w:r>
            <w:r>
              <w:rPr>
                <w:rFonts w:hint="eastAsia" w:ascii="仿宋_GB2312" w:hAnsi="仿宋_GB2312" w:eastAsia="仿宋_GB2312" w:cs="仿宋_GB2312"/>
                <w:color w:val="000000"/>
                <w:spacing w:val="-8"/>
                <w:kern w:val="0"/>
                <w:sz w:val="32"/>
                <w:szCs w:val="32"/>
                <w:shd w:val="clear" w:color="auto" w:fill="FFFFFF"/>
                <w:lang w:val="en-US" w:eastAsia="zh-CN"/>
              </w:rPr>
              <w:t>0</w:t>
            </w:r>
            <w:r>
              <w:rPr>
                <w:rFonts w:hint="eastAsia" w:ascii="仿宋_GB2312" w:hAnsi="仿宋_GB2312" w:eastAsia="仿宋_GB2312" w:cs="仿宋_GB2312"/>
                <w:color w:val="000000"/>
                <w:spacing w:val="-8"/>
                <w:kern w:val="0"/>
                <w:sz w:val="32"/>
                <w:szCs w:val="32"/>
                <w:shd w:val="clear" w:color="auto" w:fill="FFFFFF"/>
              </w:rPr>
              <w:t>0(北</w:t>
            </w:r>
            <w:bookmarkStart w:id="0" w:name="_GoBack"/>
            <w:bookmarkEnd w:id="0"/>
            <w:r>
              <w:rPr>
                <w:rFonts w:hint="eastAsia" w:ascii="仿宋_GB2312" w:hAnsi="仿宋_GB2312" w:eastAsia="仿宋_GB2312" w:cs="仿宋_GB2312"/>
                <w:color w:val="000000"/>
                <w:spacing w:val="-8"/>
                <w:kern w:val="0"/>
                <w:sz w:val="32"/>
                <w:szCs w:val="32"/>
                <w:shd w:val="clear" w:color="auto" w:fill="FFFFFF"/>
              </w:rPr>
              <w:t>京时间）</w:t>
            </w:r>
          </w:p>
          <w:p>
            <w:pPr>
              <w:widowControl/>
              <w:spacing w:line="360" w:lineRule="auto"/>
              <w:rPr>
                <w:rFonts w:hint="eastAsia" w:ascii="仿宋_GB2312" w:hAnsi="仿宋_GB2312" w:eastAsia="仿宋_GB2312" w:cs="仿宋_GB2312"/>
                <w:color w:val="000000"/>
                <w:kern w:val="0"/>
                <w:sz w:val="32"/>
                <w:szCs w:val="32"/>
                <w:u w:val="single"/>
              </w:rPr>
            </w:pPr>
            <w:r>
              <w:rPr>
                <w:rFonts w:hint="eastAsia" w:ascii="仿宋_GB2312" w:hAnsi="仿宋_GB2312" w:eastAsia="仿宋_GB2312" w:cs="仿宋_GB2312"/>
                <w:color w:val="000000"/>
                <w:kern w:val="0"/>
                <w:sz w:val="32"/>
                <w:szCs w:val="32"/>
              </w:rPr>
              <w:t>调研会时间： 2025 年</w:t>
            </w:r>
            <w:r>
              <w:rPr>
                <w:rFonts w:hint="eastAsia" w:ascii="仿宋_GB2312" w:hAnsi="仿宋_GB2312" w:eastAsia="仿宋_GB2312" w:cs="仿宋_GB2312"/>
                <w:color w:val="000000"/>
                <w:kern w:val="0"/>
                <w:sz w:val="32"/>
                <w:szCs w:val="32"/>
                <w:u w:val="single"/>
                <w:lang w:val="en-US" w:eastAsia="zh-CN"/>
              </w:rPr>
              <w:t>11</w:t>
            </w:r>
            <w:r>
              <w:rPr>
                <w:rFonts w:hint="eastAsia" w:ascii="仿宋_GB2312" w:hAnsi="仿宋_GB2312" w:eastAsia="仿宋_GB2312" w:cs="仿宋_GB2312"/>
                <w:color w:val="000000"/>
                <w:kern w:val="0"/>
                <w:sz w:val="32"/>
                <w:szCs w:val="32"/>
              </w:rPr>
              <w:t xml:space="preserve">月 </w:t>
            </w:r>
            <w:r>
              <w:rPr>
                <w:rFonts w:hint="eastAsia" w:ascii="仿宋_GB2312" w:hAnsi="仿宋_GB2312" w:eastAsia="仿宋_GB2312" w:cs="仿宋_GB2312"/>
                <w:color w:val="000000"/>
                <w:kern w:val="0"/>
                <w:sz w:val="32"/>
                <w:szCs w:val="32"/>
                <w:highlight w:val="none"/>
                <w:u w:val="single"/>
                <w:lang w:val="en-US" w:eastAsia="zh-CN"/>
              </w:rPr>
              <w:t>17</w:t>
            </w:r>
            <w:r>
              <w:rPr>
                <w:rFonts w:hint="eastAsia" w:ascii="仿宋_GB2312" w:hAnsi="仿宋_GB2312" w:eastAsia="仿宋_GB2312" w:cs="仿宋_GB2312"/>
                <w:color w:val="000000"/>
                <w:kern w:val="0"/>
                <w:sz w:val="32"/>
                <w:szCs w:val="32"/>
              </w:rPr>
              <w:t>日 9:00</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685"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3</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投标文件正本</w:t>
            </w:r>
            <w:r>
              <w:rPr>
                <w:rFonts w:hint="eastAsia" w:ascii="仿宋_GB2312" w:hAnsi="仿宋_GB2312" w:eastAsia="仿宋_GB2312" w:cs="仿宋_GB2312"/>
                <w:bCs/>
                <w:color w:val="000000"/>
                <w:sz w:val="32"/>
                <w:szCs w:val="32"/>
                <w:u w:val="single"/>
              </w:rPr>
              <w:t>壹</w:t>
            </w:r>
            <w:r>
              <w:rPr>
                <w:rFonts w:hint="eastAsia" w:ascii="仿宋_GB2312" w:hAnsi="仿宋_GB2312" w:eastAsia="仿宋_GB2312" w:cs="仿宋_GB2312"/>
                <w:color w:val="000000"/>
                <w:sz w:val="32"/>
                <w:szCs w:val="32"/>
              </w:rPr>
              <w:t>份,副本</w:t>
            </w:r>
            <w:r>
              <w:rPr>
                <w:rFonts w:hint="eastAsia" w:ascii="仿宋_GB2312" w:hAnsi="仿宋_GB2312" w:eastAsia="仿宋_GB2312" w:cs="仿宋_GB2312"/>
                <w:bCs/>
                <w:color w:val="000000"/>
                <w:sz w:val="32"/>
                <w:szCs w:val="32"/>
                <w:u w:val="single"/>
              </w:rPr>
              <w:t>壹</w:t>
            </w:r>
            <w:r>
              <w:rPr>
                <w:rFonts w:hint="eastAsia" w:ascii="仿宋_GB2312" w:hAnsi="仿宋_GB2312" w:eastAsia="仿宋_GB2312" w:cs="仿宋_GB2312"/>
                <w:color w:val="000000"/>
                <w:sz w:val="32"/>
                <w:szCs w:val="32"/>
              </w:rPr>
              <w:t>份胶装并密封加盖投标人公章。文件未胶装将视为无效。</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631"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4</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投标文件递交处：福建省肿瘤医院网络技术中心</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631"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5</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上述时间、地点如有变动，以单位届时通知为准。</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1090"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hd w:val="clear" w:color="auto" w:fill="FFFFFF"/>
              <w:adjustRightInd w:val="0"/>
              <w:snapToGrid w:val="0"/>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bCs/>
                <w:color w:val="000000"/>
                <w:kern w:val="0"/>
                <w:sz w:val="32"/>
                <w:szCs w:val="32"/>
                <w:shd w:val="clear" w:color="auto" w:fill="FFFFFF"/>
              </w:rPr>
              <w:t>采购报名、采购调研等采购过程中有任何异议，可联系我院监督科室。电话：83660063-8407；83660063-8467。</w:t>
            </w:r>
          </w:p>
        </w:tc>
      </w:tr>
    </w:tbl>
    <w:p>
      <w:pPr>
        <w:widowControl/>
        <w:shd w:val="clear" w:color="auto" w:fill="FFFFFF"/>
        <w:spacing w:line="360" w:lineRule="auto"/>
        <w:rPr>
          <w:rFonts w:hint="eastAsia" w:ascii="仿宋_GB2312" w:hAnsi="仿宋_GB2312" w:eastAsia="仿宋_GB2312" w:cs="仿宋_GB2312"/>
          <w:bCs/>
          <w:color w:val="000000"/>
          <w:kern w:val="0"/>
          <w:sz w:val="32"/>
          <w:szCs w:val="32"/>
          <w:shd w:val="clear" w:color="auto" w:fill="FFFFFF"/>
        </w:rPr>
      </w:pPr>
    </w:p>
    <w:p>
      <w:pPr>
        <w:widowControl/>
        <w:shd w:val="clear" w:color="auto" w:fill="FFFFFF"/>
        <w:spacing w:line="360" w:lineRule="auto"/>
        <w:rPr>
          <w:rFonts w:hint="eastAsia" w:ascii="仿宋_GB2312" w:hAnsi="仿宋_GB2312" w:eastAsia="仿宋_GB2312" w:cs="仿宋_GB2312"/>
          <w:bCs/>
          <w:color w:val="000000"/>
          <w:kern w:val="0"/>
          <w:sz w:val="32"/>
          <w:szCs w:val="32"/>
          <w:shd w:val="clear" w:color="auto" w:fill="FFFFFF"/>
        </w:rPr>
      </w:pPr>
      <w:r>
        <w:rPr>
          <w:rFonts w:hint="eastAsia" w:ascii="仿宋_GB2312" w:hAnsi="仿宋_GB2312" w:eastAsia="仿宋_GB2312" w:cs="仿宋_GB2312"/>
          <w:bCs/>
          <w:color w:val="000000"/>
          <w:kern w:val="0"/>
          <w:sz w:val="32"/>
          <w:szCs w:val="32"/>
          <w:shd w:val="clear" w:color="auto" w:fill="FFFFFF"/>
        </w:rPr>
        <w:t xml:space="preserve">地　址： 福建省福州市福马路420号 </w:t>
      </w:r>
    </w:p>
    <w:p>
      <w:pPr>
        <w:widowControl/>
        <w:shd w:val="clear" w:color="auto" w:fill="FFFFFF"/>
        <w:spacing w:line="360" w:lineRule="auto"/>
        <w:ind w:firstLine="420"/>
        <w:rPr>
          <w:rFonts w:hint="eastAsia" w:ascii="仿宋_GB2312" w:hAnsi="仿宋_GB2312" w:eastAsia="仿宋_GB2312" w:cs="仿宋_GB2312"/>
          <w:bCs/>
          <w:sz w:val="32"/>
          <w:szCs w:val="32"/>
        </w:rPr>
      </w:pPr>
      <w:r>
        <w:rPr>
          <w:rFonts w:hint="eastAsia" w:ascii="仿宋_GB2312" w:hAnsi="仿宋_GB2312" w:eastAsia="仿宋_GB2312" w:cs="仿宋_GB2312"/>
          <w:bCs/>
          <w:color w:val="000000"/>
          <w:kern w:val="0"/>
          <w:sz w:val="32"/>
          <w:szCs w:val="32"/>
          <w:shd w:val="clear" w:color="auto" w:fill="FFFFFF"/>
        </w:rPr>
        <w:t>福建省肿瘤医院科研楼四楼网络技术中心</w:t>
      </w:r>
    </w:p>
    <w:p>
      <w:pPr>
        <w:widowControl/>
        <w:shd w:val="clear" w:color="auto" w:fill="FFFFFF"/>
        <w:spacing w:line="360" w:lineRule="auto"/>
        <w:rPr>
          <w:rFonts w:hint="eastAsia" w:ascii="仿宋_GB2312" w:hAnsi="仿宋_GB2312" w:eastAsia="仿宋_GB2312" w:cs="仿宋_GB2312"/>
          <w:bCs/>
          <w:sz w:val="32"/>
          <w:szCs w:val="32"/>
        </w:rPr>
      </w:pPr>
      <w:r>
        <w:rPr>
          <w:rFonts w:hint="eastAsia" w:ascii="仿宋_GB2312" w:hAnsi="仿宋_GB2312" w:eastAsia="仿宋_GB2312" w:cs="仿宋_GB2312"/>
          <w:bCs/>
          <w:color w:val="000000"/>
          <w:kern w:val="0"/>
          <w:sz w:val="32"/>
          <w:szCs w:val="32"/>
          <w:shd w:val="clear" w:color="auto" w:fill="FFFFFF"/>
        </w:rPr>
        <w:t>邮　编： 350014　 </w:t>
      </w:r>
    </w:p>
    <w:p>
      <w:pPr>
        <w:widowControl/>
        <w:shd w:val="clear" w:color="auto" w:fill="FFFFFF"/>
        <w:spacing w:line="360" w:lineRule="auto"/>
        <w:rPr>
          <w:rFonts w:hint="eastAsia" w:ascii="仿宋_GB2312" w:hAnsi="仿宋_GB2312" w:eastAsia="仿宋_GB2312" w:cs="仿宋_GB2312"/>
          <w:bCs/>
          <w:sz w:val="32"/>
          <w:szCs w:val="32"/>
        </w:rPr>
      </w:pPr>
      <w:r>
        <w:rPr>
          <w:rFonts w:hint="eastAsia" w:ascii="仿宋_GB2312" w:hAnsi="仿宋_GB2312" w:eastAsia="仿宋_GB2312" w:cs="仿宋_GB2312"/>
          <w:bCs/>
          <w:color w:val="000000"/>
          <w:kern w:val="0"/>
          <w:sz w:val="32"/>
          <w:szCs w:val="32"/>
          <w:shd w:val="clear" w:color="auto" w:fill="FFFFFF"/>
        </w:rPr>
        <w:t>报名联系电话： 0591-83660063-8822</w:t>
      </w:r>
    </w:p>
    <w:p>
      <w:pPr>
        <w:widowControl/>
        <w:shd w:val="clear" w:color="auto" w:fill="FFFFFF"/>
        <w:spacing w:line="360" w:lineRule="auto"/>
        <w:rPr>
          <w:rFonts w:hint="eastAsia" w:ascii="仿宋_GB2312" w:hAnsi="仿宋_GB2312" w:eastAsia="仿宋_GB2312" w:cs="仿宋_GB2312"/>
          <w:bCs/>
          <w:color w:val="000000"/>
          <w:kern w:val="0"/>
          <w:sz w:val="32"/>
          <w:szCs w:val="32"/>
          <w:shd w:val="clear" w:color="auto" w:fill="FFFFFF"/>
        </w:rPr>
      </w:pPr>
      <w:r>
        <w:rPr>
          <w:rFonts w:hint="eastAsia" w:ascii="仿宋_GB2312" w:hAnsi="仿宋_GB2312" w:eastAsia="仿宋_GB2312" w:cs="仿宋_GB2312"/>
          <w:bCs/>
          <w:color w:val="000000"/>
          <w:kern w:val="0"/>
          <w:sz w:val="32"/>
          <w:szCs w:val="32"/>
          <w:shd w:val="clear" w:color="auto" w:fill="FFFFFF"/>
        </w:rPr>
        <w:t xml:space="preserve">联系人： </w:t>
      </w:r>
      <w:r>
        <w:rPr>
          <w:rFonts w:hint="eastAsia" w:ascii="仿宋_GB2312" w:hAnsi="仿宋_GB2312" w:eastAsia="仿宋_GB2312" w:cs="仿宋_GB2312"/>
          <w:bCs/>
          <w:color w:val="000000"/>
          <w:kern w:val="0"/>
          <w:sz w:val="32"/>
          <w:szCs w:val="32"/>
          <w:shd w:val="clear" w:color="auto" w:fill="FFFFFF"/>
          <w:lang w:val="en-US" w:eastAsia="zh-CN"/>
        </w:rPr>
        <w:t>杜</w:t>
      </w:r>
      <w:r>
        <w:rPr>
          <w:rFonts w:hint="eastAsia" w:ascii="仿宋_GB2312" w:hAnsi="仿宋_GB2312" w:eastAsia="仿宋_GB2312" w:cs="仿宋_GB2312"/>
          <w:bCs/>
          <w:color w:val="000000"/>
          <w:kern w:val="0"/>
          <w:sz w:val="32"/>
          <w:szCs w:val="32"/>
          <w:shd w:val="clear" w:color="auto" w:fill="FFFFFF"/>
        </w:rPr>
        <w:t>工、郑工</w:t>
      </w:r>
    </w:p>
    <w:p>
      <w:pPr>
        <w:pStyle w:val="13"/>
        <w:spacing w:line="360" w:lineRule="auto"/>
        <w:rPr>
          <w:rFonts w:hint="eastAsia" w:ascii="仿宋_GB2312" w:hAnsi="仿宋_GB2312" w:cs="仿宋_GB2312"/>
          <w:sz w:val="32"/>
          <w:szCs w:val="32"/>
        </w:rPr>
      </w:pPr>
      <w:r>
        <w:rPr>
          <w:rFonts w:hint="eastAsia" w:ascii="仿宋_GB2312" w:hAnsi="仿宋_GB2312" w:cs="仿宋_GB2312"/>
          <w:sz w:val="32"/>
          <w:szCs w:val="32"/>
        </w:rPr>
        <w:br w:type="page"/>
      </w:r>
    </w:p>
    <w:p>
      <w:pPr>
        <w:widowControl/>
        <w:shd w:val="clear" w:color="auto" w:fill="FFFFFF"/>
        <w:adjustRightInd w:val="0"/>
        <w:snapToGrid w:val="0"/>
        <w:spacing w:line="360" w:lineRule="auto"/>
        <w:ind w:firstLine="420"/>
        <w:jc w:val="center"/>
        <w:rPr>
          <w:rFonts w:hint="eastAsia" w:ascii="黑体" w:hAnsi="黑体" w:eastAsia="黑体"/>
          <w:bCs/>
          <w:color w:val="000000"/>
          <w:kern w:val="0"/>
          <w:sz w:val="32"/>
          <w:szCs w:val="32"/>
          <w:shd w:val="clear" w:color="auto" w:fill="FFFFFF"/>
        </w:rPr>
      </w:pPr>
      <w:r>
        <w:rPr>
          <w:rFonts w:hint="eastAsia" w:ascii="黑体" w:hAnsi="黑体" w:eastAsia="黑体"/>
          <w:bCs/>
          <w:color w:val="000000"/>
          <w:kern w:val="0"/>
          <w:sz w:val="32"/>
          <w:szCs w:val="32"/>
          <w:shd w:val="clear" w:color="auto" w:fill="FFFFFF"/>
        </w:rPr>
        <w:t>第二部分 具体要求</w:t>
      </w:r>
    </w:p>
    <w:p>
      <w:pPr>
        <w:widowControl/>
        <w:shd w:val="clear" w:color="auto" w:fill="FFFFFF"/>
        <w:spacing w:line="360" w:lineRule="auto"/>
        <w:rPr>
          <w:rFonts w:hint="eastAsia" w:ascii="仿宋_GB2312" w:hAnsi="仿宋_GB2312" w:eastAsia="仿宋_GB2312" w:cs="仿宋_GB2312"/>
          <w:b/>
          <w:color w:val="000000"/>
          <w:kern w:val="0"/>
          <w:sz w:val="32"/>
          <w:szCs w:val="32"/>
          <w:shd w:val="clear" w:color="auto" w:fill="FFFFFF"/>
        </w:rPr>
      </w:pPr>
      <w:r>
        <w:rPr>
          <w:rFonts w:hint="eastAsia" w:ascii="仿宋_GB2312" w:hAnsi="仿宋_GB2312" w:eastAsia="仿宋_GB2312" w:cs="仿宋_GB2312"/>
          <w:b/>
          <w:color w:val="000000"/>
          <w:kern w:val="0"/>
          <w:sz w:val="32"/>
          <w:szCs w:val="32"/>
          <w:shd w:val="clear" w:color="auto" w:fill="FFFFFF"/>
        </w:rPr>
        <w:t>一、采购内容</w:t>
      </w:r>
    </w:p>
    <w:tbl>
      <w:tblPr>
        <w:tblStyle w:val="9"/>
        <w:tblpPr w:leftFromText="180" w:rightFromText="180" w:vertAnchor="text" w:horzAnchor="page" w:tblpX="1562" w:tblpY="283"/>
        <w:tblOverlap w:val="never"/>
        <w:tblW w:w="935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13"/>
        <w:gridCol w:w="2977"/>
        <w:gridCol w:w="1842"/>
        <w:gridCol w:w="31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8" w:hRule="exact"/>
        </w:trPr>
        <w:tc>
          <w:tcPr>
            <w:tcW w:w="1413" w:type="dxa"/>
            <w:vAlign w:val="center"/>
          </w:tcPr>
          <w:p>
            <w:pPr>
              <w:widowControl/>
              <w:spacing w:line="36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rPr>
              <w:t>合同包</w:t>
            </w:r>
          </w:p>
        </w:tc>
        <w:tc>
          <w:tcPr>
            <w:tcW w:w="2977" w:type="dxa"/>
            <w:vAlign w:val="center"/>
          </w:tcPr>
          <w:p>
            <w:pPr>
              <w:widowControl/>
              <w:spacing w:line="360" w:lineRule="auto"/>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名 称</w:t>
            </w:r>
          </w:p>
        </w:tc>
        <w:tc>
          <w:tcPr>
            <w:tcW w:w="1842" w:type="dxa"/>
            <w:vAlign w:val="center"/>
          </w:tcPr>
          <w:p>
            <w:pPr>
              <w:widowControl/>
              <w:spacing w:line="360" w:lineRule="auto"/>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数量</w:t>
            </w:r>
          </w:p>
        </w:tc>
        <w:tc>
          <w:tcPr>
            <w:tcW w:w="3127" w:type="dxa"/>
            <w:vAlign w:val="center"/>
          </w:tcPr>
          <w:p>
            <w:pPr>
              <w:widowControl/>
              <w:spacing w:line="360" w:lineRule="auto"/>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预算（万元）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1" w:hRule="exact"/>
        </w:trPr>
        <w:tc>
          <w:tcPr>
            <w:tcW w:w="1413" w:type="dxa"/>
            <w:vAlign w:val="center"/>
          </w:tcPr>
          <w:p>
            <w:pPr>
              <w:widowControl/>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（一）</w:t>
            </w:r>
          </w:p>
        </w:tc>
        <w:tc>
          <w:tcPr>
            <w:tcW w:w="2977" w:type="dxa"/>
            <w:vAlign w:val="center"/>
          </w:tcPr>
          <w:p>
            <w:pPr>
              <w:widowControl/>
              <w:spacing w:line="360" w:lineRule="auto"/>
              <w:jc w:val="center"/>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color w:val="000000"/>
                <w:kern w:val="0"/>
                <w:sz w:val="32"/>
                <w:szCs w:val="32"/>
                <w:lang w:val="en-US" w:eastAsia="zh-CN"/>
              </w:rPr>
              <w:t>AI算力服务器</w:t>
            </w:r>
          </w:p>
        </w:tc>
        <w:tc>
          <w:tcPr>
            <w:tcW w:w="1842" w:type="dxa"/>
            <w:vAlign w:val="center"/>
          </w:tcPr>
          <w:p>
            <w:pPr>
              <w:autoSpaceDN w:val="0"/>
              <w:spacing w:line="360" w:lineRule="auto"/>
              <w:textAlignment w:val="center"/>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sz w:val="32"/>
                <w:szCs w:val="32"/>
              </w:rPr>
              <w:t xml:space="preserve">   1套</w:t>
            </w:r>
          </w:p>
        </w:tc>
        <w:tc>
          <w:tcPr>
            <w:tcW w:w="3127" w:type="dxa"/>
            <w:vAlign w:val="center"/>
          </w:tcPr>
          <w:p>
            <w:pPr>
              <w:autoSpaceDN w:val="0"/>
              <w:spacing w:line="360" w:lineRule="auto"/>
              <w:jc w:val="center"/>
              <w:textAlignment w:val="center"/>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color w:val="000000"/>
                <w:sz w:val="32"/>
                <w:szCs w:val="32"/>
                <w:lang w:val="en-US" w:eastAsia="zh-CN"/>
              </w:rPr>
              <w:t>180</w:t>
            </w:r>
          </w:p>
        </w:tc>
      </w:tr>
    </w:tbl>
    <w:p/>
    <w:p>
      <w:pPr>
        <w:keepNext/>
        <w:widowControl/>
        <w:shd w:val="clear" w:color="auto" w:fill="FFFFFF"/>
        <w:autoSpaceDE w:val="0"/>
        <w:spacing w:line="360" w:lineRule="auto"/>
        <w:rPr>
          <w:rFonts w:hint="eastAsia" w:ascii="仿宋_GB2312" w:hAnsi="仿宋_GB2312" w:eastAsia="仿宋_GB2312" w:cs="仿宋_GB2312"/>
          <w:b/>
          <w:color w:val="000000"/>
          <w:kern w:val="0"/>
          <w:sz w:val="32"/>
          <w:szCs w:val="32"/>
          <w:shd w:val="clear" w:color="auto" w:fill="FFFFFF"/>
        </w:rPr>
      </w:pPr>
      <w:r>
        <w:rPr>
          <w:rFonts w:hint="eastAsia" w:ascii="仿宋_GB2312" w:hAnsi="仿宋_GB2312" w:eastAsia="仿宋_GB2312" w:cs="仿宋_GB2312"/>
          <w:b/>
          <w:color w:val="000000"/>
          <w:kern w:val="0"/>
          <w:sz w:val="32"/>
          <w:szCs w:val="32"/>
          <w:shd w:val="clear" w:color="auto" w:fill="FFFFFF"/>
        </w:rPr>
        <w:t>二、技术功能及服务要求</w:t>
      </w:r>
    </w:p>
    <w:p>
      <w:pPr>
        <w:pStyle w:val="13"/>
        <w:spacing w:line="360" w:lineRule="auto"/>
        <w:rPr>
          <w:rFonts w:hint="eastAsia" w:ascii="仿宋_GB2312" w:hAnsi="仿宋_GB2312" w:cs="仿宋_GB2312"/>
          <w:sz w:val="32"/>
          <w:szCs w:val="32"/>
        </w:rPr>
      </w:pPr>
      <w:r>
        <w:rPr>
          <w:rFonts w:hint="eastAsia" w:ascii="仿宋_GB2312" w:hAnsi="仿宋_GB2312" w:cs="仿宋_GB2312"/>
          <w:sz w:val="32"/>
          <w:szCs w:val="32"/>
        </w:rPr>
        <w:t>1、合同包（一）</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49"/>
        <w:gridCol w:w="2453"/>
        <w:gridCol w:w="4582"/>
        <w:gridCol w:w="11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049" w:type="dxa"/>
            <w:tcMar>
              <w:top w:w="0" w:type="dxa"/>
              <w:left w:w="108" w:type="dxa"/>
              <w:bottom w:w="0" w:type="dxa"/>
              <w:right w:w="108" w:type="dxa"/>
            </w:tcMar>
            <w:vAlign w:val="center"/>
          </w:tcPr>
          <w:p>
            <w:pPr>
              <w:rPr>
                <w:rFonts w:hint="eastAsia" w:ascii="宋体" w:hAnsi="宋体" w:eastAsia="宋体"/>
                <w:b/>
                <w:bCs/>
              </w:rPr>
            </w:pPr>
            <w:r>
              <w:rPr>
                <w:rFonts w:hint="eastAsia" w:ascii="宋体" w:hAnsi="宋体" w:eastAsia="宋体"/>
                <w:b/>
                <w:bCs/>
              </w:rPr>
              <w:t>序号</w:t>
            </w:r>
          </w:p>
        </w:tc>
        <w:tc>
          <w:tcPr>
            <w:tcW w:w="2453" w:type="dxa"/>
            <w:tcMar>
              <w:top w:w="0" w:type="dxa"/>
              <w:left w:w="108" w:type="dxa"/>
              <w:bottom w:w="0" w:type="dxa"/>
              <w:right w:w="108" w:type="dxa"/>
            </w:tcMar>
            <w:vAlign w:val="center"/>
          </w:tcPr>
          <w:p>
            <w:pPr>
              <w:rPr>
                <w:rFonts w:hint="eastAsia" w:ascii="宋体" w:hAnsi="宋体" w:eastAsia="宋体"/>
                <w:b/>
                <w:bCs/>
              </w:rPr>
            </w:pPr>
            <w:r>
              <w:rPr>
                <w:rFonts w:hint="eastAsia" w:ascii="宋体" w:hAnsi="宋体" w:eastAsia="宋体"/>
                <w:b/>
                <w:bCs/>
              </w:rPr>
              <w:t>项目</w:t>
            </w:r>
          </w:p>
        </w:tc>
        <w:tc>
          <w:tcPr>
            <w:tcW w:w="4582" w:type="dxa"/>
            <w:tcMar>
              <w:top w:w="0" w:type="dxa"/>
              <w:left w:w="108" w:type="dxa"/>
              <w:bottom w:w="0" w:type="dxa"/>
              <w:right w:w="108" w:type="dxa"/>
            </w:tcMar>
            <w:vAlign w:val="center"/>
          </w:tcPr>
          <w:p>
            <w:pPr>
              <w:rPr>
                <w:rFonts w:hint="eastAsia" w:ascii="宋体" w:hAnsi="宋体" w:eastAsia="宋体"/>
                <w:b/>
                <w:bCs/>
              </w:rPr>
            </w:pPr>
            <w:r>
              <w:rPr>
                <w:rFonts w:hint="eastAsia" w:ascii="宋体" w:hAnsi="宋体" w:eastAsia="宋体"/>
                <w:b/>
                <w:bCs/>
              </w:rPr>
              <w:t>技术参数要求</w:t>
            </w:r>
          </w:p>
        </w:tc>
        <w:tc>
          <w:tcPr>
            <w:tcW w:w="1199" w:type="dxa"/>
            <w:tcMar>
              <w:top w:w="0" w:type="dxa"/>
              <w:left w:w="108" w:type="dxa"/>
              <w:bottom w:w="0" w:type="dxa"/>
              <w:right w:w="108" w:type="dxa"/>
            </w:tcMar>
            <w:vAlign w:val="center"/>
          </w:tcPr>
          <w:p>
            <w:pPr>
              <w:rPr>
                <w:rFonts w:hint="eastAsia" w:ascii="宋体" w:hAnsi="宋体" w:eastAsia="宋体"/>
                <w:b/>
                <w:bCs/>
              </w:rPr>
            </w:pPr>
            <w:r>
              <w:rPr>
                <w:rFonts w:hint="eastAsia" w:ascii="宋体" w:hAnsi="宋体" w:eastAsia="宋体"/>
                <w:b/>
                <w:bCs/>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049" w:type="dxa"/>
            <w:tcMar>
              <w:top w:w="0" w:type="dxa"/>
              <w:left w:w="108" w:type="dxa"/>
              <w:bottom w:w="0" w:type="dxa"/>
              <w:right w:w="108" w:type="dxa"/>
            </w:tcMar>
            <w:vAlign w:val="center"/>
          </w:tcPr>
          <w:p>
            <w:pPr>
              <w:rPr>
                <w:rFonts w:hint="eastAsia" w:ascii="宋体" w:hAnsi="宋体" w:eastAsia="宋体"/>
              </w:rPr>
            </w:pPr>
            <w:r>
              <w:rPr>
                <w:rFonts w:hint="eastAsia" w:ascii="宋体" w:hAnsi="宋体" w:eastAsia="宋体"/>
              </w:rPr>
              <w:t>1</w:t>
            </w:r>
          </w:p>
        </w:tc>
        <w:tc>
          <w:tcPr>
            <w:tcW w:w="2453" w:type="dxa"/>
            <w:tcMar>
              <w:top w:w="0" w:type="dxa"/>
              <w:left w:w="108" w:type="dxa"/>
              <w:bottom w:w="0" w:type="dxa"/>
              <w:right w:w="108" w:type="dxa"/>
            </w:tcMar>
            <w:vAlign w:val="center"/>
          </w:tcPr>
          <w:p>
            <w:pPr>
              <w:rPr>
                <w:rFonts w:hint="default" w:ascii="宋体" w:hAnsi="宋体" w:eastAsia="宋体"/>
                <w:lang w:val="en-US" w:eastAsia="zh-CN"/>
              </w:rPr>
            </w:pPr>
            <w:r>
              <w:rPr>
                <w:rFonts w:hint="eastAsia" w:ascii="宋体" w:hAnsi="宋体" w:eastAsia="宋体"/>
                <w:lang w:val="en-US" w:eastAsia="zh-CN"/>
              </w:rPr>
              <w:t>算力服务器</w:t>
            </w:r>
          </w:p>
        </w:tc>
        <w:tc>
          <w:tcPr>
            <w:tcW w:w="4582" w:type="dxa"/>
            <w:tcMar>
              <w:top w:w="0" w:type="dxa"/>
              <w:left w:w="108" w:type="dxa"/>
              <w:bottom w:w="0" w:type="dxa"/>
              <w:right w:w="108" w:type="dxa"/>
            </w:tcMar>
            <w:vAlign w:val="center"/>
          </w:tcPr>
          <w:p>
            <w:pPr>
              <w:rPr>
                <w:rFonts w:hint="default" w:ascii="宋体" w:hAnsi="宋体" w:eastAsia="宋体" w:cs="宋体"/>
                <w:kern w:val="0"/>
                <w:szCs w:val="21"/>
                <w:lang w:val="en-US" w:eastAsia="zh-CN"/>
              </w:rPr>
            </w:pPr>
            <w:r>
              <w:rPr>
                <w:rFonts w:hint="default" w:ascii="宋体" w:hAnsi="宋体" w:eastAsia="宋体" w:cs="宋体"/>
                <w:kern w:val="0"/>
                <w:szCs w:val="21"/>
                <w:lang w:val="en-US" w:eastAsia="zh-CN"/>
              </w:rPr>
              <w:t>1、≥8U国芯机架式服务器，配置原厂导轨；</w:t>
            </w:r>
          </w:p>
          <w:p>
            <w:pPr>
              <w:rPr>
                <w:rFonts w:hint="default" w:ascii="宋体" w:hAnsi="宋体" w:eastAsia="宋体" w:cs="宋体"/>
                <w:kern w:val="0"/>
                <w:szCs w:val="21"/>
                <w:lang w:val="en-US" w:eastAsia="zh-CN"/>
              </w:rPr>
            </w:pPr>
            <w:r>
              <w:rPr>
                <w:rFonts w:hint="default" w:ascii="宋体" w:hAnsi="宋体" w:eastAsia="宋体" w:cs="宋体"/>
                <w:kern w:val="0"/>
                <w:szCs w:val="21"/>
                <w:lang w:val="en-US" w:eastAsia="zh-CN"/>
              </w:rPr>
              <w:t>2、配置≥6块3000W热拔插GPU冗余电源模块，≥2块1600W热拔插服务器冗余电源模块；</w:t>
            </w:r>
          </w:p>
          <w:p>
            <w:pPr>
              <w:rPr>
                <w:rFonts w:hint="default" w:ascii="宋体" w:hAnsi="宋体" w:eastAsia="宋体" w:cs="宋体"/>
                <w:kern w:val="0"/>
                <w:szCs w:val="21"/>
                <w:lang w:val="en-US" w:eastAsia="zh-CN"/>
              </w:rPr>
            </w:pPr>
            <w:r>
              <w:rPr>
                <w:rFonts w:hint="default" w:ascii="宋体" w:hAnsi="宋体" w:eastAsia="宋体" w:cs="宋体"/>
                <w:kern w:val="0"/>
                <w:szCs w:val="21"/>
                <w:lang w:val="en-US" w:eastAsia="zh-CN"/>
              </w:rPr>
              <w:t>3、配置≥2颗国产C86架构CPU，每颗CPU核心数≥48核且线程数≥96，CPU主频≥2.6G；</w:t>
            </w:r>
          </w:p>
          <w:p>
            <w:pPr>
              <w:rPr>
                <w:rFonts w:hint="default" w:ascii="宋体" w:hAnsi="宋体" w:eastAsia="宋体" w:cs="宋体"/>
                <w:kern w:val="0"/>
                <w:szCs w:val="21"/>
                <w:lang w:val="en-US" w:eastAsia="zh-CN"/>
              </w:rPr>
            </w:pPr>
            <w:r>
              <w:rPr>
                <w:rFonts w:hint="default" w:ascii="宋体" w:hAnsi="宋体" w:eastAsia="宋体" w:cs="宋体"/>
                <w:kern w:val="0"/>
                <w:szCs w:val="21"/>
                <w:lang w:val="en-US" w:eastAsia="zh-CN"/>
              </w:rPr>
              <w:t>4、配置≥1.5TB DDR5内存；</w:t>
            </w:r>
          </w:p>
          <w:p>
            <w:pPr>
              <w:rPr>
                <w:rFonts w:hint="default" w:ascii="宋体" w:hAnsi="宋体" w:eastAsia="宋体" w:cs="宋体"/>
                <w:kern w:val="0"/>
                <w:szCs w:val="21"/>
                <w:lang w:val="en-US" w:eastAsia="zh-CN"/>
              </w:rPr>
            </w:pPr>
            <w:r>
              <w:rPr>
                <w:rFonts w:hint="default" w:ascii="宋体" w:hAnsi="宋体" w:eastAsia="宋体" w:cs="宋体"/>
                <w:kern w:val="0"/>
                <w:szCs w:val="21"/>
                <w:lang w:val="en-US" w:eastAsia="zh-CN"/>
              </w:rPr>
              <w:t>5、配置≥2块960GB SSD硬盘，≥4块3.84TB NVMe SSD硬盘；</w:t>
            </w:r>
          </w:p>
          <w:p>
            <w:pPr>
              <w:rPr>
                <w:rFonts w:hint="default" w:ascii="宋体" w:hAnsi="宋体" w:eastAsia="宋体" w:cs="宋体"/>
                <w:kern w:val="0"/>
                <w:szCs w:val="21"/>
                <w:lang w:val="en-US" w:eastAsia="zh-CN"/>
              </w:rPr>
            </w:pPr>
            <w:r>
              <w:rPr>
                <w:rFonts w:hint="default" w:ascii="宋体" w:hAnsi="宋体" w:eastAsia="宋体" w:cs="宋体"/>
                <w:kern w:val="0"/>
                <w:szCs w:val="21"/>
                <w:lang w:val="en-US" w:eastAsia="zh-CN"/>
              </w:rPr>
              <w:t>6、配置≥2*2*25GE端口（满配25G多模光模块）≥4个10GE端口（满配多模光模块）；</w:t>
            </w:r>
          </w:p>
          <w:p>
            <w:pPr>
              <w:rPr>
                <w:rFonts w:hint="default" w:ascii="宋体" w:hAnsi="宋体" w:eastAsia="宋体" w:cs="宋体"/>
                <w:kern w:val="0"/>
                <w:szCs w:val="21"/>
                <w:lang w:val="en-US" w:eastAsia="zh-CN"/>
              </w:rPr>
            </w:pPr>
            <w:r>
              <w:rPr>
                <w:rFonts w:hint="default" w:ascii="宋体" w:hAnsi="宋体" w:eastAsia="宋体" w:cs="宋体"/>
                <w:kern w:val="0"/>
                <w:szCs w:val="21"/>
                <w:lang w:val="en-US" w:eastAsia="zh-CN"/>
              </w:rPr>
              <w:t>7、配置8卡模组GPU模块。单卡显存容量≥141GB ，显存带宽≥4.8TB/s， FP8计算性能≥296 TFlops ，GPU互联≥900GB/s，支持FP64。</w:t>
            </w:r>
          </w:p>
          <w:p>
            <w:pPr>
              <w:rPr>
                <w:rFonts w:hint="default" w:ascii="宋体" w:hAnsi="宋体" w:eastAsia="宋体" w:cs="宋体"/>
                <w:kern w:val="0"/>
                <w:szCs w:val="21"/>
                <w:lang w:val="en-US" w:eastAsia="zh-CN"/>
              </w:rPr>
            </w:pPr>
            <w:r>
              <w:rPr>
                <w:rFonts w:hint="default" w:ascii="宋体" w:hAnsi="宋体" w:eastAsia="宋体" w:cs="宋体"/>
                <w:kern w:val="0"/>
                <w:szCs w:val="21"/>
                <w:lang w:val="en-US" w:eastAsia="zh-CN"/>
              </w:rPr>
              <w:t>8、RAID卡支持0/1/10/5/6/50/60，4G缓存</w:t>
            </w:r>
          </w:p>
          <w:p>
            <w:pPr>
              <w:rPr>
                <w:rFonts w:hint="default" w:ascii="宋体" w:hAnsi="宋体" w:eastAsia="宋体" w:cs="宋体"/>
                <w:kern w:val="0"/>
                <w:szCs w:val="21"/>
                <w:lang w:val="en-US" w:eastAsia="zh-CN"/>
              </w:rPr>
            </w:pPr>
            <w:r>
              <w:rPr>
                <w:rFonts w:hint="default" w:ascii="宋体" w:hAnsi="宋体" w:eastAsia="宋体" w:cs="宋体"/>
                <w:kern w:val="0"/>
                <w:szCs w:val="21"/>
                <w:lang w:val="en-US" w:eastAsia="zh-CN"/>
              </w:rPr>
              <w:t>9、配置≥14个热拔插风扇模块；</w:t>
            </w:r>
          </w:p>
          <w:p>
            <w:pPr>
              <w:rPr>
                <w:rFonts w:hint="default" w:ascii="宋体" w:hAnsi="宋体" w:eastAsia="宋体" w:cs="宋体"/>
                <w:kern w:val="0"/>
                <w:szCs w:val="21"/>
                <w:lang w:val="en-US" w:eastAsia="zh-CN"/>
              </w:rPr>
            </w:pPr>
            <w:r>
              <w:rPr>
                <w:rFonts w:hint="default" w:ascii="宋体" w:hAnsi="宋体" w:eastAsia="宋体" w:cs="宋体"/>
                <w:kern w:val="0"/>
                <w:szCs w:val="21"/>
                <w:lang w:val="en-US" w:eastAsia="zh-CN"/>
              </w:rPr>
              <w:t>10、支持≥12个PCIe 5.0 x16标准插槽</w:t>
            </w:r>
          </w:p>
          <w:p>
            <w:pPr>
              <w:rPr>
                <w:rFonts w:hint="default" w:ascii="宋体" w:hAnsi="宋体" w:eastAsia="宋体" w:cs="宋体"/>
                <w:kern w:val="0"/>
                <w:szCs w:val="21"/>
                <w:lang w:val="en-US" w:eastAsia="zh-CN"/>
              </w:rPr>
            </w:pPr>
            <w:r>
              <w:rPr>
                <w:rFonts w:hint="default" w:ascii="宋体" w:hAnsi="宋体" w:eastAsia="宋体" w:cs="宋体"/>
                <w:kern w:val="0"/>
                <w:szCs w:val="21"/>
                <w:lang w:val="en-US" w:eastAsia="zh-CN"/>
              </w:rPr>
              <w:t>11、设备自带服务器BMC管理软件，支持远程控制，允许用户在服务器上进行远程操作，包括启动远程控制台、服务器电源控制，散热策略以及 BIOS 配置等；</w:t>
            </w:r>
          </w:p>
          <w:p>
            <w:pPr>
              <w:rPr>
                <w:rFonts w:hint="default" w:ascii="宋体" w:hAnsi="宋体" w:eastAsia="宋体" w:cs="宋体"/>
                <w:kern w:val="0"/>
                <w:szCs w:val="21"/>
                <w:lang w:val="en-US" w:eastAsia="zh-CN"/>
              </w:rPr>
            </w:pPr>
            <w:r>
              <w:rPr>
                <w:rFonts w:hint="default" w:ascii="宋体" w:hAnsi="宋体" w:eastAsia="宋体" w:cs="宋体"/>
                <w:kern w:val="0"/>
                <w:szCs w:val="21"/>
                <w:lang w:val="en-US" w:eastAsia="zh-CN"/>
              </w:rPr>
              <w:t>12、服务器自带品牌BMC管理软件：可以对设备日志、故障日志信息进行筛选、查看、导出及清空等，支持服务U盘下载；</w:t>
            </w:r>
          </w:p>
          <w:p>
            <w:pPr>
              <w:rPr>
                <w:rFonts w:hint="default" w:ascii="宋体" w:hAnsi="宋体" w:eastAsia="宋体" w:cs="宋体"/>
                <w:kern w:val="0"/>
                <w:szCs w:val="21"/>
                <w:lang w:val="en-US" w:eastAsia="zh-CN"/>
              </w:rPr>
            </w:pPr>
            <w:r>
              <w:rPr>
                <w:rFonts w:hint="default" w:ascii="宋体" w:hAnsi="宋体" w:eastAsia="宋体" w:cs="宋体"/>
                <w:kern w:val="0"/>
                <w:szCs w:val="21"/>
                <w:lang w:val="en-US" w:eastAsia="zh-CN"/>
              </w:rPr>
              <w:t>13、服务器自带品牌BMC管理软件：可对机器的各个方面进行配置，如时间日期、网络、SNMP、SMTP、防火墙、用户管理等；支持双因素认证功能；</w:t>
            </w:r>
          </w:p>
          <w:p>
            <w:pPr>
              <w:rPr>
                <w:rFonts w:hint="default" w:ascii="宋体" w:hAnsi="宋体" w:eastAsia="宋体" w:cs="宋体"/>
                <w:kern w:val="0"/>
                <w:szCs w:val="21"/>
                <w:lang w:val="en-US" w:eastAsia="zh-CN"/>
              </w:rPr>
            </w:pPr>
            <w:r>
              <w:rPr>
                <w:rFonts w:hint="default" w:ascii="宋体" w:hAnsi="宋体" w:eastAsia="宋体" w:cs="宋体"/>
                <w:kern w:val="0"/>
                <w:szCs w:val="21"/>
                <w:lang w:val="en-US" w:eastAsia="zh-CN"/>
              </w:rPr>
              <w:t>14、服务器自带品牌BMC管理软件：可以对系统硬件信息进行记录、查看与监控，包括资产信息、FRU 信息、RAID 信息、传感器信息、存储系统、硬件信息及监控；</w:t>
            </w:r>
          </w:p>
          <w:p>
            <w:pPr>
              <w:rPr>
                <w:rFonts w:hint="default" w:ascii="宋体" w:hAnsi="宋体" w:eastAsia="宋体" w:cs="宋体"/>
                <w:kern w:val="0"/>
                <w:szCs w:val="21"/>
                <w:lang w:val="en-US" w:eastAsia="zh-CN"/>
              </w:rPr>
            </w:pPr>
            <w:r>
              <w:rPr>
                <w:rFonts w:hint="default" w:ascii="宋体" w:hAnsi="宋体" w:eastAsia="宋体" w:cs="宋体"/>
                <w:kern w:val="0"/>
                <w:szCs w:val="21"/>
                <w:lang w:val="en-US" w:eastAsia="zh-CN"/>
              </w:rPr>
              <w:t>15、服务器自带品牌BMC管理软件：支持应急诊断功能，故障诊断可重启 BMC，抓取自检代码及保存故障截屏等；能够检测到故障部件，将故障部件隔离；</w:t>
            </w:r>
          </w:p>
          <w:p>
            <w:pPr>
              <w:rPr>
                <w:rFonts w:hint="default" w:ascii="宋体" w:hAnsi="宋体" w:eastAsia="宋体" w:cs="宋体"/>
                <w:kern w:val="0"/>
                <w:szCs w:val="21"/>
                <w:lang w:val="en-US" w:eastAsia="zh-CN"/>
              </w:rPr>
            </w:pPr>
            <w:r>
              <w:rPr>
                <w:rFonts w:hint="default" w:ascii="宋体" w:hAnsi="宋体" w:eastAsia="宋体" w:cs="宋体"/>
                <w:kern w:val="0"/>
                <w:szCs w:val="21"/>
                <w:lang w:val="en-US" w:eastAsia="zh-CN"/>
              </w:rPr>
              <w:t>16、服务器自带品牌BMC管理软件：可对机器进行固件升级，恢复出厂设置，保留部分设置等操作；</w:t>
            </w:r>
          </w:p>
          <w:p>
            <w:pPr>
              <w:rPr>
                <w:rFonts w:hint="default" w:ascii="宋体" w:hAnsi="宋体" w:eastAsia="宋体" w:cs="宋体"/>
                <w:kern w:val="0"/>
                <w:szCs w:val="21"/>
                <w:lang w:val="en-US" w:eastAsia="zh-CN"/>
              </w:rPr>
            </w:pPr>
            <w:r>
              <w:rPr>
                <w:rFonts w:hint="default" w:ascii="宋体" w:hAnsi="宋体" w:eastAsia="宋体" w:cs="宋体"/>
                <w:kern w:val="0"/>
                <w:szCs w:val="21"/>
                <w:lang w:val="en-US" w:eastAsia="zh-CN"/>
              </w:rPr>
              <w:t>17、服务器自带品牌BMC管理软件：支持通过一个服务器的管理页面对多个服务器进行管理；</w:t>
            </w:r>
          </w:p>
          <w:p>
            <w:pPr>
              <w:rPr>
                <w:rFonts w:hint="default" w:ascii="宋体" w:hAnsi="宋体" w:eastAsia="宋体" w:cs="宋体"/>
                <w:kern w:val="0"/>
                <w:szCs w:val="21"/>
                <w:lang w:val="en-US" w:eastAsia="zh-CN"/>
              </w:rPr>
            </w:pPr>
            <w:r>
              <w:rPr>
                <w:rFonts w:hint="default" w:ascii="宋体" w:hAnsi="宋体" w:eastAsia="宋体" w:cs="宋体"/>
                <w:kern w:val="0"/>
                <w:szCs w:val="21"/>
                <w:lang w:val="en-US" w:eastAsia="zh-CN"/>
              </w:rPr>
              <w:t>18、提供5年 7*24 小时原厂标准服务；福州本地设有办事处；</w:t>
            </w:r>
          </w:p>
        </w:tc>
        <w:tc>
          <w:tcPr>
            <w:tcW w:w="1199" w:type="dxa"/>
            <w:tcMar>
              <w:top w:w="0" w:type="dxa"/>
              <w:left w:w="108" w:type="dxa"/>
              <w:bottom w:w="0" w:type="dxa"/>
              <w:right w:w="108" w:type="dxa"/>
            </w:tcMar>
            <w:vAlign w:val="center"/>
          </w:tcPr>
          <w:p>
            <w:pPr>
              <w:rPr>
                <w:rFonts w:hint="eastAsia" w:ascii="宋体" w:hAnsi="宋体" w:eastAsia="宋体"/>
                <w:lang w:val="en-US" w:eastAsia="zh-CN"/>
              </w:rPr>
            </w:pPr>
            <w:r>
              <w:rPr>
                <w:rFonts w:hint="eastAsia" w:ascii="宋体" w:hAnsi="宋体" w:eastAsia="宋体"/>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049" w:type="dxa"/>
            <w:tcMar>
              <w:top w:w="0" w:type="dxa"/>
              <w:left w:w="108" w:type="dxa"/>
              <w:bottom w:w="0" w:type="dxa"/>
              <w:right w:w="108" w:type="dxa"/>
            </w:tcMar>
            <w:vAlign w:val="center"/>
          </w:tcPr>
          <w:p>
            <w:pPr>
              <w:rPr>
                <w:rFonts w:hint="eastAsia" w:ascii="宋体" w:hAnsi="宋体" w:eastAsia="宋体"/>
                <w:lang w:val="en-US" w:eastAsia="zh-CN"/>
              </w:rPr>
            </w:pPr>
            <w:r>
              <w:rPr>
                <w:rFonts w:hint="eastAsia" w:ascii="宋体" w:hAnsi="宋体"/>
                <w:lang w:val="en-US" w:eastAsia="zh-CN"/>
              </w:rPr>
              <w:t>2</w:t>
            </w:r>
          </w:p>
        </w:tc>
        <w:tc>
          <w:tcPr>
            <w:tcW w:w="2453" w:type="dxa"/>
            <w:tcMar>
              <w:top w:w="0" w:type="dxa"/>
              <w:left w:w="108" w:type="dxa"/>
              <w:bottom w:w="0" w:type="dxa"/>
              <w:right w:w="108" w:type="dxa"/>
            </w:tcMar>
            <w:vAlign w:val="bottom"/>
          </w:tcPr>
          <w:p>
            <w:pPr>
              <w:keepNext w:val="0"/>
              <w:keepLines w:val="0"/>
              <w:widowControl/>
              <w:suppressLineNumbers w:val="0"/>
              <w:jc w:val="left"/>
              <w:textAlignment w:val="bottom"/>
              <w:rPr>
                <w:rFonts w:hint="eastAsia" w:ascii="等线" w:hAnsi="等线" w:eastAsia="等线" w:cs="等线"/>
                <w:i w:val="0"/>
                <w:iCs w:val="0"/>
                <w:color w:val="000000"/>
                <w:kern w:val="2"/>
                <w:sz w:val="22"/>
                <w:szCs w:val="22"/>
                <w:u w:val="none"/>
                <w:lang w:val="en-US" w:eastAsia="zh-CN" w:bidi="ar-SA"/>
              </w:rPr>
            </w:pPr>
            <w:r>
              <w:rPr>
                <w:rFonts w:hint="eastAsia" w:ascii="宋体" w:hAnsi="宋体" w:eastAsia="宋体" w:cs="宋体"/>
                <w:kern w:val="0"/>
                <w:szCs w:val="21"/>
                <w:lang w:val="en-US" w:eastAsia="zh-CN"/>
              </w:rPr>
              <w:t>虚拟化软件</w:t>
            </w:r>
          </w:p>
        </w:tc>
        <w:tc>
          <w:tcPr>
            <w:tcW w:w="4582" w:type="dxa"/>
            <w:tcMar>
              <w:top w:w="0" w:type="dxa"/>
              <w:left w:w="108" w:type="dxa"/>
              <w:bottom w:w="0" w:type="dxa"/>
              <w:right w:w="108" w:type="dxa"/>
            </w:tcMar>
            <w:vAlign w:val="center"/>
          </w:tcPr>
          <w:p>
            <w:pPr>
              <w:rPr>
                <w:rFonts w:hint="default" w:ascii="宋体" w:hAnsi="宋体" w:eastAsia="宋体" w:cs="宋体"/>
                <w:kern w:val="0"/>
                <w:szCs w:val="21"/>
                <w:lang w:val="en-US" w:eastAsia="zh-CN"/>
              </w:rPr>
            </w:pPr>
            <w:r>
              <w:rPr>
                <w:rFonts w:hint="default" w:ascii="宋体" w:hAnsi="宋体" w:eastAsia="宋体" w:cs="宋体"/>
                <w:kern w:val="0"/>
                <w:szCs w:val="21"/>
                <w:lang w:val="en-US" w:eastAsia="zh-CN"/>
              </w:rPr>
              <w:t>1、支持虚拟机部署或基于容器与 Kubernetes 技术的 AI 云平台部署，可对 CPU、内存、磁盘、GPU 等异构计算资源实现虚拟化统一管理；兼容 GPU 直通与 vGPU 功能，支持对不同厂商、不同型号的硬件设备进行统一监控与管理，同时覆盖物理设备与虚拟化设备的一体化监控场景。在高性能计算及 AI 模型训练场景中，性能损耗相较于裸机低于 5%。</w:t>
            </w:r>
          </w:p>
          <w:p>
            <w:pPr>
              <w:rPr>
                <w:rFonts w:hint="default" w:ascii="宋体" w:hAnsi="宋体" w:eastAsia="宋体" w:cs="宋体"/>
                <w:kern w:val="0"/>
                <w:szCs w:val="21"/>
                <w:lang w:val="en-US" w:eastAsia="zh-CN"/>
              </w:rPr>
            </w:pPr>
            <w:r>
              <w:rPr>
                <w:rFonts w:hint="default" w:ascii="宋体" w:hAnsi="宋体" w:eastAsia="宋体" w:cs="宋体"/>
                <w:kern w:val="0"/>
                <w:szCs w:val="21"/>
                <w:lang w:val="en-US" w:eastAsia="zh-CN"/>
              </w:rPr>
              <w:t>2、节点管理：支持可视化查看集群内所有节点详情，包括节点名称、节点类型（主控节点 / 计算节点）、CPU 已用核数 / 总核数、GPU 已用卡数 / 总卡数、所属分区、运行状态及作业数统计；提供直接远程 shell 登录节点功能，并支持节点批量管理操作。</w:t>
            </w:r>
          </w:p>
          <w:p>
            <w:pPr>
              <w:rPr>
                <w:rFonts w:hint="default" w:ascii="宋体" w:hAnsi="宋体" w:eastAsia="宋体" w:cs="宋体"/>
                <w:kern w:val="0"/>
                <w:szCs w:val="21"/>
                <w:lang w:val="en-US" w:eastAsia="zh-CN"/>
              </w:rPr>
            </w:pPr>
            <w:r>
              <w:rPr>
                <w:rFonts w:hint="default" w:ascii="宋体" w:hAnsi="宋体" w:eastAsia="宋体" w:cs="宋体"/>
                <w:kern w:val="0"/>
                <w:szCs w:val="21"/>
                <w:lang w:val="en-US" w:eastAsia="zh-CN"/>
              </w:rPr>
              <w:t>3、集群监控：支持物理视图直观呈现机器状态，可查看节点名称、管理 IP、系统 IP、开关机状态、CPU 利用率、网络带宽、系统负载，以及 GPU 利用率、内存占用率、核心温度、功耗等关键指标；支持监控集群整体作业状态，可查看当前运行 / 等待的作业详情（含作业 ID、名称、状态、等待时长、运行时长、分配 CPU 数、分配 GPU 数等）。</w:t>
            </w:r>
          </w:p>
          <w:p>
            <w:pPr>
              <w:rPr>
                <w:rFonts w:hint="default" w:ascii="宋体" w:hAnsi="宋体" w:eastAsia="宋体" w:cs="宋体"/>
                <w:kern w:val="0"/>
                <w:szCs w:val="21"/>
                <w:lang w:val="en-US" w:eastAsia="zh-CN"/>
              </w:rPr>
            </w:pPr>
            <w:r>
              <w:rPr>
                <w:rFonts w:hint="default" w:ascii="宋体" w:hAnsi="宋体" w:eastAsia="宋体" w:cs="宋体"/>
                <w:kern w:val="0"/>
                <w:szCs w:val="21"/>
                <w:lang w:val="en-US" w:eastAsia="zh-CN"/>
              </w:rPr>
              <w:t>4、集成 TensorFlow、PyTorch、Caffe、Keras 等多种主流深度学习框架，支撑用户模型开发、模型训练等需求；支持用户快速创建适配不同场景的深度学习开发调试容器环境。</w:t>
            </w:r>
          </w:p>
          <w:p>
            <w:pPr>
              <w:rPr>
                <w:rFonts w:hint="default" w:ascii="宋体" w:hAnsi="宋体" w:eastAsia="宋体" w:cs="宋体"/>
                <w:kern w:val="0"/>
                <w:szCs w:val="21"/>
                <w:lang w:val="en-US" w:eastAsia="zh-CN"/>
              </w:rPr>
            </w:pPr>
            <w:r>
              <w:rPr>
                <w:rFonts w:hint="default" w:ascii="宋体" w:hAnsi="宋体" w:eastAsia="宋体" w:cs="宋体"/>
                <w:kern w:val="0"/>
                <w:szCs w:val="21"/>
                <w:lang w:val="en-US" w:eastAsia="zh-CN"/>
              </w:rPr>
              <w:t>5、支持管理员对平台内所有用户创建的运行环境进行集中管控，包括环境信息查询、闲置资源回收、环境备份恢复及按需删除等操作；同时可对用户提交的所有训练任务进行统一调度与管控。</w:t>
            </w:r>
          </w:p>
          <w:p>
            <w:pPr>
              <w:rPr>
                <w:rFonts w:hint="default" w:ascii="宋体" w:hAnsi="宋体" w:eastAsia="宋体" w:cs="宋体"/>
                <w:kern w:val="0"/>
                <w:szCs w:val="21"/>
                <w:lang w:val="en-US" w:eastAsia="zh-CN"/>
              </w:rPr>
            </w:pPr>
            <w:r>
              <w:rPr>
                <w:rFonts w:hint="default" w:ascii="宋体" w:hAnsi="宋体" w:eastAsia="宋体" w:cs="宋体"/>
                <w:kern w:val="0"/>
                <w:szCs w:val="21"/>
                <w:lang w:val="en-US" w:eastAsia="zh-CN"/>
              </w:rPr>
              <w:t>6、支持集群动态资源调度功能，可基于主机网络流量负载，对虚拟机或容器进行智能动态调度，实现网络资源的自动化分配与负载均衡，避免节点网络饱和，保障集群服务稳定性。</w:t>
            </w:r>
          </w:p>
          <w:p>
            <w:pPr>
              <w:rPr>
                <w:rFonts w:hint="default" w:ascii="宋体" w:hAnsi="宋体" w:eastAsia="宋体" w:cs="宋体"/>
                <w:kern w:val="0"/>
                <w:szCs w:val="21"/>
                <w:lang w:val="en-US" w:eastAsia="zh-CN"/>
              </w:rPr>
            </w:pPr>
            <w:r>
              <w:rPr>
                <w:rFonts w:hint="default" w:ascii="宋体" w:hAnsi="宋体" w:eastAsia="宋体" w:cs="宋体"/>
                <w:kern w:val="0"/>
                <w:szCs w:val="21"/>
                <w:lang w:val="en-US" w:eastAsia="zh-CN"/>
              </w:rPr>
              <w:t>7、当部分主机存储链路出现异常时，支持将异常主机上使用共享存储的虚拟机或容器，自动重定向至集群内其他正常主机，快速恢复业务运行，降低故障对业务的影响。</w:t>
            </w:r>
          </w:p>
          <w:p>
            <w:pPr>
              <w:rPr>
                <w:rFonts w:hint="default" w:ascii="宋体" w:hAnsi="宋体" w:eastAsia="宋体" w:cs="宋体"/>
                <w:kern w:val="0"/>
                <w:szCs w:val="21"/>
                <w:lang w:val="en-US" w:eastAsia="zh-CN"/>
              </w:rPr>
            </w:pPr>
            <w:r>
              <w:rPr>
                <w:rFonts w:hint="default" w:ascii="宋体" w:hAnsi="宋体" w:eastAsia="宋体" w:cs="宋体"/>
                <w:kern w:val="0"/>
                <w:szCs w:val="21"/>
                <w:lang w:val="en-US" w:eastAsia="zh-CN"/>
              </w:rPr>
              <w:t>8、具备故障级联诊断功能，虚拟化平台通过智能分析技术，对虚拟机、主机、集群等资源的异常事件进行多维度关联分析，快速定位故障根源，提升故障排查效率与系统整体可靠性。</w:t>
            </w:r>
          </w:p>
          <w:p>
            <w:pPr>
              <w:rPr>
                <w:rFonts w:hint="default" w:ascii="宋体" w:hAnsi="宋体" w:eastAsia="宋体" w:cs="宋体"/>
                <w:kern w:val="0"/>
                <w:szCs w:val="21"/>
                <w:lang w:val="en-US" w:eastAsia="zh-CN"/>
              </w:rPr>
            </w:pPr>
            <w:r>
              <w:rPr>
                <w:rFonts w:hint="default" w:ascii="宋体" w:hAnsi="宋体" w:eastAsia="宋体" w:cs="宋体"/>
                <w:kern w:val="0"/>
                <w:szCs w:val="21"/>
                <w:lang w:val="en-US" w:eastAsia="zh-CN"/>
              </w:rPr>
              <w:t>9.本软件和算力服务器配套使用，需国产化，符合国家信创要求。</w:t>
            </w:r>
          </w:p>
        </w:tc>
        <w:tc>
          <w:tcPr>
            <w:tcW w:w="1199" w:type="dxa"/>
            <w:tcMar>
              <w:top w:w="0" w:type="dxa"/>
              <w:left w:w="108" w:type="dxa"/>
              <w:bottom w:w="0" w:type="dxa"/>
              <w:right w:w="108" w:type="dxa"/>
            </w:tcMar>
            <w:vAlign w:val="center"/>
          </w:tcPr>
          <w:p>
            <w:pPr>
              <w:rPr>
                <w:rFonts w:hint="eastAsia" w:ascii="宋体" w:hAnsi="宋体" w:eastAsia="宋体"/>
                <w:lang w:val="en-US" w:eastAsia="zh-CN"/>
              </w:rPr>
            </w:pPr>
          </w:p>
        </w:tc>
      </w:tr>
    </w:tbl>
    <w:p>
      <w:pPr>
        <w:numPr>
          <w:ilvl w:val="0"/>
          <w:numId w:val="1"/>
        </w:numPr>
        <w:wordWrap/>
        <w:spacing w:before="0" w:after="0" w:line="360" w:lineRule="auto"/>
        <w:ind w:left="0" w:leftChars="0" w:right="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sz w:val="32"/>
          <w:szCs w:val="32"/>
          <w:lang w:val="en-US" w:eastAsia="zh-CN"/>
        </w:rPr>
        <w:t>其他要求</w:t>
      </w:r>
    </w:p>
    <w:p>
      <w:pPr>
        <w:pStyle w:val="14"/>
        <w:numPr>
          <w:ilvl w:val="0"/>
          <w:numId w:val="0"/>
        </w:numPr>
        <w:wordWrap/>
        <w:spacing w:before="0" w:beforeAutospacing="0" w:after="0" w:afterAutospacing="0" w:line="360" w:lineRule="auto"/>
        <w:ind w:right="0" w:rightChars="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1、本项目实施主要工作为：GPU服务器设备上架调试、系统集成等软硬件安装工作，同时必须结合医院现有设备及应用情况，实施现有及本项目规划、等保安全、系统集成等各项工作。</w:t>
      </w:r>
    </w:p>
    <w:p>
      <w:pPr>
        <w:pStyle w:val="14"/>
        <w:numPr>
          <w:ilvl w:val="0"/>
          <w:numId w:val="0"/>
        </w:numPr>
        <w:wordWrap/>
        <w:spacing w:before="0" w:beforeAutospacing="0" w:after="0" w:afterAutospacing="0" w:line="360" w:lineRule="auto"/>
        <w:ind w:right="0" w:rightChars="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2、为保障AI计算、深度学习、医学影像处理等业务的高效运行，交付时应对GPU服务器服务器搭建必要的、满足性能要求的、冗余的高速网络，包含交付所必须的光模块及光纤跳线等辅材。</w:t>
      </w:r>
    </w:p>
    <w:p>
      <w:pPr>
        <w:pStyle w:val="14"/>
        <w:numPr>
          <w:ilvl w:val="0"/>
          <w:numId w:val="0"/>
        </w:numPr>
        <w:wordWrap/>
        <w:spacing w:before="0" w:beforeAutospacing="0" w:after="0" w:afterAutospacing="0" w:line="360" w:lineRule="auto"/>
        <w:ind w:right="0" w:rightChars="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本预算价应包含设备价格、实施费用（需按用户实际要求提供符合相关规范及性能要求的光纤跳线、网线、机柜（含PDU）等，机柜线路整理所需辅材及相关设备接地服务）、集成费用及约定保修期内（扩容设备随主机保修）的维修及服务费用等，本预算价为含税开票价格。</w:t>
      </w:r>
    </w:p>
    <w:p>
      <w:pPr>
        <w:pStyle w:val="14"/>
        <w:numPr>
          <w:ilvl w:val="0"/>
          <w:numId w:val="0"/>
        </w:numPr>
        <w:wordWrap/>
        <w:spacing w:before="0" w:beforeAutospacing="0" w:after="0" w:afterAutospacing="0" w:line="360" w:lineRule="auto"/>
        <w:ind w:right="0" w:rightChars="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4、五年内免费实施国家、省市政策性要求，包含但不限于配合完成国产化改造涉及的数据迁移、设备虚拟化平台迁移等工作。提供7x24小时技术支持服务，故障响应时间不超过2小时，现场解决时间不超过24小时。</w:t>
      </w:r>
    </w:p>
    <w:p>
      <w:pPr>
        <w:pStyle w:val="14"/>
        <w:numPr>
          <w:ilvl w:val="0"/>
          <w:numId w:val="0"/>
        </w:numPr>
        <w:wordWrap/>
        <w:spacing w:before="0" w:beforeAutospacing="0" w:after="0" w:afterAutospacing="0" w:line="360" w:lineRule="auto"/>
        <w:ind w:right="0" w:rightChars="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5、本项目系统安装调试并经验收合格后，应对采购方的相关人员提供关于GPU服务器系统应用、管理维护、性能优化等方面的技术培训。相关培训费用应包含在投标总价中。</w:t>
      </w:r>
    </w:p>
    <w:p>
      <w:pPr>
        <w:pStyle w:val="14"/>
        <w:numPr>
          <w:ilvl w:val="0"/>
          <w:numId w:val="0"/>
        </w:numPr>
        <w:wordWrap/>
        <w:spacing w:before="0" w:beforeAutospacing="0" w:after="0" w:afterAutospacing="0" w:line="360" w:lineRule="auto"/>
        <w:ind w:right="0" w:rightChars="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6、GPU 资源集中管理分配：支持单卡共享和切分，管理员根据显卡型号设置显卡的共享个数和切分个数，提供对容器+镜像的管理，支持GPU资源的虚拟化管理，便于资源池化和灵活分配。</w:t>
      </w:r>
    </w:p>
    <w:p>
      <w:pPr>
        <w:pStyle w:val="14"/>
        <w:numPr>
          <w:ilvl w:val="0"/>
          <w:numId w:val="0"/>
        </w:numPr>
        <w:wordWrap/>
        <w:spacing w:before="0" w:beforeAutospacing="0" w:after="0" w:afterAutospacing="0" w:line="360" w:lineRule="auto"/>
        <w:ind w:right="0" w:rightChars="0"/>
        <w:jc w:val="both"/>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lang w:val="en-US" w:eastAsia="zh-CN"/>
        </w:rPr>
        <w:t>7、平台可集成多种深度学习各种框架/镜像(如 TensorFlow， pytorch，caffe，keras，hovorod，ray，Matlab 等)用户模型开发、模型训练等。。</w:t>
      </w:r>
    </w:p>
    <w:p>
      <w:pPr>
        <w:pStyle w:val="13"/>
        <w:numPr>
          <w:ilvl w:val="0"/>
          <w:numId w:val="1"/>
        </w:numPr>
        <w:spacing w:line="360" w:lineRule="auto"/>
        <w:rPr>
          <w:rFonts w:hint="eastAsia" w:ascii="仿宋_GB2312" w:hAnsi="仿宋_GB2312" w:cs="仿宋_GB2312"/>
          <w:b/>
          <w:bCs/>
          <w:sz w:val="32"/>
          <w:szCs w:val="32"/>
        </w:rPr>
      </w:pPr>
      <w:r>
        <w:rPr>
          <w:rFonts w:hint="eastAsia" w:ascii="仿宋_GB2312" w:hAnsi="仿宋_GB2312" w:cs="仿宋_GB2312"/>
          <w:b/>
          <w:bCs/>
          <w:sz w:val="32"/>
          <w:szCs w:val="32"/>
        </w:rPr>
        <w:t>调研说明</w:t>
      </w:r>
    </w:p>
    <w:p>
      <w:pPr>
        <w:shd w:val="solid" w:color="FFFFFF" w:fill="auto"/>
        <w:autoSpaceDN w:val="0"/>
        <w:spacing w:line="360" w:lineRule="auto"/>
        <w:ind w:firstLine="640" w:firstLineChars="200"/>
        <w:rPr>
          <w:rFonts w:hint="eastAsia"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报名参加本次调研的供应商、厂家需提供如下相关资料。</w:t>
      </w:r>
    </w:p>
    <w:p>
      <w:pPr>
        <w:widowControl/>
        <w:numPr>
          <w:ilvl w:val="0"/>
          <w:numId w:val="2"/>
        </w:numPr>
        <w:spacing w:line="360" w:lineRule="auto"/>
        <w:ind w:firstLine="720" w:firstLineChars="200"/>
        <w:rPr>
          <w:rFonts w:hint="eastAsia" w:ascii="仿宋_GB2312" w:hAnsi="仿宋_GB2312" w:eastAsia="仿宋_GB2312" w:cs="仿宋_GB2312"/>
          <w:color w:val="000000"/>
          <w:kern w:val="0"/>
          <w:sz w:val="36"/>
          <w:szCs w:val="36"/>
        </w:rPr>
      </w:pPr>
      <w:r>
        <w:rPr>
          <w:rFonts w:hint="eastAsia" w:ascii="仿宋_GB2312" w:hAnsi="仿宋_GB2312" w:eastAsia="仿宋_GB2312" w:cs="仿宋_GB2312"/>
          <w:color w:val="000000"/>
          <w:kern w:val="0"/>
          <w:sz w:val="36"/>
          <w:szCs w:val="36"/>
        </w:rPr>
        <w:t>报名时请携带加盖公章的项目文件回执单、营业执照复印件、公司简介（可含</w:t>
      </w:r>
      <w:r>
        <w:rPr>
          <w:rFonts w:hint="eastAsia" w:ascii="仿宋_GB2312" w:hAnsi="仿宋_GB2312" w:eastAsia="仿宋_GB2312" w:cs="仿宋_GB2312"/>
          <w:bCs/>
          <w:sz w:val="36"/>
          <w:szCs w:val="36"/>
          <w:shd w:val="clear" w:color="auto" w:fill="FFFFFF"/>
        </w:rPr>
        <w:t>提供设备彩页等）</w:t>
      </w:r>
      <w:r>
        <w:rPr>
          <w:rFonts w:hint="eastAsia" w:ascii="仿宋_GB2312" w:hAnsi="仿宋_GB2312" w:eastAsia="仿宋_GB2312" w:cs="仿宋_GB2312"/>
          <w:color w:val="000000"/>
          <w:kern w:val="0"/>
          <w:sz w:val="36"/>
          <w:szCs w:val="36"/>
        </w:rPr>
        <w:t>。</w:t>
      </w:r>
    </w:p>
    <w:p>
      <w:pPr>
        <w:pStyle w:val="13"/>
        <w:spacing w:line="360" w:lineRule="auto"/>
      </w:pPr>
    </w:p>
    <w:p>
      <w:pPr>
        <w:widowControl/>
        <w:shd w:val="clear" w:color="auto" w:fill="FFFFFF"/>
        <w:spacing w:line="360" w:lineRule="auto"/>
        <w:ind w:firstLine="608" w:firstLineChars="200"/>
        <w:rPr>
          <w:rFonts w:hint="eastAsia" w:ascii="仿宋_GB2312" w:hAnsi="仿宋_GB2312" w:eastAsia="仿宋_GB2312" w:cs="仿宋_GB2312"/>
          <w:color w:val="000000"/>
          <w:spacing w:val="-8"/>
          <w:kern w:val="0"/>
          <w:sz w:val="32"/>
          <w:szCs w:val="32"/>
          <w:shd w:val="clear" w:color="auto" w:fill="FFFFFF"/>
        </w:rPr>
      </w:pPr>
      <w:r>
        <w:rPr>
          <w:rFonts w:hint="eastAsia" w:ascii="仿宋_GB2312" w:hAnsi="仿宋_GB2312" w:eastAsia="仿宋_GB2312" w:cs="仿宋_GB2312"/>
          <w:color w:val="000000"/>
          <w:spacing w:val="-8"/>
          <w:kern w:val="0"/>
          <w:sz w:val="32"/>
          <w:szCs w:val="32"/>
          <w:shd w:val="clear" w:color="auto" w:fill="FFFFFF"/>
        </w:rPr>
        <w:t>2、参与项目调研供应商代表的个人授权函（需加盖供应商公章）和身份证复印件。</w:t>
      </w:r>
    </w:p>
    <w:p>
      <w:pPr>
        <w:widowControl/>
        <w:shd w:val="clear" w:color="auto" w:fill="FFFFFF"/>
        <w:spacing w:line="360" w:lineRule="auto"/>
        <w:ind w:firstLine="608" w:firstLineChars="200"/>
        <w:rPr>
          <w:rFonts w:hint="eastAsia" w:ascii="仿宋_GB2312" w:hAnsi="仿宋_GB2312" w:eastAsia="仿宋_GB2312" w:cs="仿宋_GB2312"/>
          <w:color w:val="000000"/>
          <w:spacing w:val="-8"/>
          <w:kern w:val="0"/>
          <w:sz w:val="32"/>
          <w:szCs w:val="32"/>
          <w:shd w:val="clear" w:color="auto" w:fill="FFFFFF"/>
        </w:rPr>
      </w:pPr>
      <w:r>
        <w:rPr>
          <w:rFonts w:hint="eastAsia" w:ascii="仿宋_GB2312" w:hAnsi="仿宋_GB2312" w:eastAsia="仿宋_GB2312" w:cs="仿宋_GB2312"/>
          <w:color w:val="000000"/>
          <w:spacing w:val="-8"/>
          <w:kern w:val="0"/>
          <w:sz w:val="32"/>
          <w:szCs w:val="32"/>
          <w:shd w:val="clear" w:color="auto" w:fill="FFFFFF"/>
        </w:rPr>
        <w:t>3、分别提供“信用中国”网站（www.creditchina.gov.cn）、“中国政府采购网”网站（http://www.ccgp.gov.cn/search/cr/）信用记录查询截图，无不良记录并加盖公章（截图查询日期必须在该公告日期内）。</w:t>
      </w:r>
    </w:p>
    <w:p>
      <w:pPr>
        <w:pStyle w:val="13"/>
        <w:spacing w:line="360" w:lineRule="auto"/>
        <w:ind w:firstLine="608" w:firstLineChars="200"/>
        <w:rPr>
          <w:rFonts w:hint="eastAsia" w:ascii="仿宋_GB2312" w:hAnsi="仿宋_GB2312" w:cs="仿宋_GB2312"/>
          <w:color w:val="000000"/>
          <w:spacing w:val="-8"/>
          <w:kern w:val="0"/>
          <w:sz w:val="32"/>
          <w:szCs w:val="32"/>
          <w:shd w:val="clear" w:color="auto" w:fill="FFFFFF"/>
        </w:rPr>
      </w:pPr>
      <w:r>
        <w:rPr>
          <w:rFonts w:hint="eastAsia" w:ascii="仿宋_GB2312" w:hAnsi="仿宋_GB2312" w:cs="仿宋_GB2312"/>
          <w:color w:val="000000"/>
          <w:spacing w:val="-8"/>
          <w:kern w:val="0"/>
          <w:sz w:val="32"/>
          <w:szCs w:val="32"/>
          <w:shd w:val="clear" w:color="auto" w:fill="FFFFFF"/>
        </w:rPr>
        <w:t>4、提供业绩清单及近3年省内同类项目中标书</w:t>
      </w:r>
    </w:p>
    <w:p>
      <w:pPr>
        <w:pStyle w:val="13"/>
        <w:spacing w:line="360" w:lineRule="auto"/>
        <w:ind w:firstLine="608" w:firstLineChars="200"/>
        <w:rPr>
          <w:rFonts w:hint="eastAsia" w:ascii="仿宋_GB2312" w:hAnsi="仿宋_GB2312" w:cs="仿宋_GB2312"/>
          <w:color w:val="000000"/>
          <w:spacing w:val="-8"/>
          <w:kern w:val="0"/>
          <w:sz w:val="32"/>
          <w:szCs w:val="32"/>
          <w:shd w:val="clear" w:color="auto" w:fill="FFFFFF"/>
        </w:rPr>
      </w:pPr>
      <w:r>
        <w:rPr>
          <w:rFonts w:hint="eastAsia" w:ascii="仿宋_GB2312" w:hAnsi="仿宋_GB2312" w:cs="仿宋_GB2312"/>
          <w:color w:val="000000"/>
          <w:spacing w:val="-8"/>
          <w:kern w:val="0"/>
          <w:sz w:val="32"/>
          <w:szCs w:val="32"/>
          <w:shd w:val="clear" w:color="auto" w:fill="FFFFFF"/>
        </w:rPr>
        <w:t>5、本调研会的报价仅做为本项目公开招标的预算限价；不做参与投标的限制条件；</w:t>
      </w:r>
    </w:p>
    <w:p>
      <w:pPr>
        <w:pStyle w:val="13"/>
        <w:spacing w:line="360" w:lineRule="auto"/>
        <w:ind w:firstLine="608" w:firstLineChars="200"/>
        <w:rPr>
          <w:rFonts w:hint="eastAsia" w:ascii="仿宋_GB2312" w:hAnsi="仿宋_GB2312" w:cs="仿宋_GB2312"/>
          <w:color w:val="000000"/>
          <w:spacing w:val="-8"/>
          <w:kern w:val="0"/>
          <w:sz w:val="32"/>
          <w:szCs w:val="32"/>
          <w:shd w:val="clear" w:color="auto" w:fill="FFFFFF"/>
        </w:rPr>
      </w:pPr>
      <w:r>
        <w:rPr>
          <w:rFonts w:hint="eastAsia" w:ascii="仿宋_GB2312" w:hAnsi="仿宋_GB2312" w:cs="仿宋_GB2312"/>
          <w:color w:val="000000"/>
          <w:spacing w:val="-8"/>
          <w:kern w:val="0"/>
          <w:sz w:val="32"/>
          <w:szCs w:val="32"/>
          <w:shd w:val="clear" w:color="auto" w:fill="FFFFFF"/>
        </w:rPr>
        <w:t>6、上述各参数将做为本项目招标的主要参数，不代表本项目公开招标的最终参数；</w:t>
      </w:r>
    </w:p>
    <w:p>
      <w:pPr>
        <w:pStyle w:val="13"/>
        <w:spacing w:line="360" w:lineRule="auto"/>
        <w:ind w:firstLine="608" w:firstLineChars="200"/>
        <w:rPr>
          <w:rFonts w:hint="eastAsia" w:ascii="仿宋_GB2312" w:hAnsi="仿宋_GB2312" w:cs="仿宋_GB2312"/>
          <w:color w:val="000000"/>
          <w:spacing w:val="-8"/>
          <w:kern w:val="0"/>
          <w:sz w:val="32"/>
          <w:szCs w:val="32"/>
          <w:shd w:val="clear" w:color="auto" w:fill="FFFFFF"/>
        </w:rPr>
      </w:pPr>
      <w:r>
        <w:rPr>
          <w:rFonts w:hint="eastAsia" w:ascii="仿宋_GB2312" w:hAnsi="仿宋_GB2312" w:cs="仿宋_GB2312"/>
          <w:color w:val="000000"/>
          <w:spacing w:val="-8"/>
          <w:kern w:val="0"/>
          <w:sz w:val="32"/>
          <w:szCs w:val="32"/>
          <w:shd w:val="clear" w:color="auto" w:fill="FFFFFF"/>
        </w:rPr>
        <w:t>7、参加调研会的公司应准备PPT材料（含方案介绍、服务及集成能力、应用案例、报价等）、技术参数等材料，每公司讲解时间30分钟（含答疑10分钟）；同时上述材料须交予院方留档（发送邮件到wlb@fjzlhospital.com，并提供U盘留档）。</w:t>
      </w:r>
    </w:p>
    <w:p>
      <w:pPr>
        <w:pStyle w:val="13"/>
        <w:spacing w:line="360" w:lineRule="auto"/>
        <w:rPr>
          <w:rFonts w:hint="eastAsia" w:ascii="仿宋_GB2312" w:hAnsi="仿宋_GB2312" w:cs="仿宋_GB2312"/>
          <w:sz w:val="32"/>
          <w:szCs w:val="32"/>
        </w:rPr>
      </w:pPr>
      <w:r>
        <w:rPr>
          <w:rFonts w:hint="eastAsia" w:ascii="仿宋_GB2312" w:hAnsi="仿宋_GB2312" w:cs="仿宋_GB2312"/>
          <w:sz w:val="32"/>
          <w:szCs w:val="32"/>
        </w:rPr>
        <w:br w:type="page"/>
      </w:r>
    </w:p>
    <w:p>
      <w:pPr>
        <w:shd w:val="solid" w:color="FFFFFF" w:fill="auto"/>
        <w:autoSpaceDN w:val="0"/>
        <w:spacing w:line="360" w:lineRule="auto"/>
        <w:jc w:val="center"/>
        <w:rPr>
          <w:rFonts w:hint="eastAsia" w:ascii="仿宋_GB2312" w:hAnsi="仿宋_GB2312" w:eastAsia="仿宋_GB2312" w:cs="仿宋_GB2312"/>
          <w:b/>
          <w:color w:val="000000"/>
          <w:sz w:val="32"/>
          <w:szCs w:val="32"/>
          <w:shd w:val="clear" w:color="auto" w:fill="FFFFFF"/>
        </w:rPr>
      </w:pPr>
    </w:p>
    <w:p>
      <w:pPr>
        <w:shd w:val="solid" w:color="FFFFFF" w:fill="auto"/>
        <w:autoSpaceDN w:val="0"/>
        <w:spacing w:line="360" w:lineRule="auto"/>
        <w:jc w:val="center"/>
        <w:rPr>
          <w:rFonts w:hint="eastAsia" w:ascii="仿宋_GB2312" w:hAnsi="仿宋_GB2312" w:eastAsia="仿宋_GB2312" w:cs="仿宋_GB2312"/>
          <w:b/>
          <w:sz w:val="32"/>
          <w:szCs w:val="32"/>
          <w:shd w:val="clear" w:color="auto" w:fill="FFFFFF"/>
        </w:rPr>
      </w:pPr>
      <w:r>
        <w:rPr>
          <w:rFonts w:hint="eastAsia" w:ascii="仿宋_GB2312" w:hAnsi="仿宋_GB2312" w:eastAsia="仿宋_GB2312" w:cs="仿宋_GB2312"/>
          <w:b/>
          <w:color w:val="000000"/>
          <w:sz w:val="32"/>
          <w:szCs w:val="32"/>
          <w:shd w:val="clear" w:color="auto" w:fill="FFFFFF"/>
        </w:rPr>
        <w:t>项目文件回执单</w:t>
      </w:r>
    </w:p>
    <w:p>
      <w:pPr>
        <w:shd w:val="solid" w:color="FFFFFF" w:fill="auto"/>
        <w:autoSpaceDN w:val="0"/>
        <w:spacing w:line="360" w:lineRule="auto"/>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shd w:val="clear" w:color="auto" w:fill="FFFFFF"/>
        </w:rPr>
        <w:t>请有意向参与的公司在项目公示期内携带回执单至福建省肿瘤医院网络技术中心报名。</w:t>
      </w:r>
    </w:p>
    <w:tbl>
      <w:tblPr>
        <w:tblStyle w:val="9"/>
        <w:tblW w:w="8154" w:type="dxa"/>
        <w:tblInd w:w="358"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1140"/>
        <w:gridCol w:w="2651"/>
        <w:gridCol w:w="2115"/>
        <w:gridCol w:w="2248"/>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04" w:hRule="exact"/>
        </w:trPr>
        <w:tc>
          <w:tcPr>
            <w:tcW w:w="1140" w:type="dxa"/>
            <w:tcBorders>
              <w:top w:val="single" w:color="000000" w:sz="8" w:space="0"/>
              <w:left w:val="single" w:color="000000" w:sz="8" w:space="0"/>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360" w:lineRule="auto"/>
              <w:jc w:val="center"/>
              <w:rPr>
                <w:rFonts w:hint="eastAsia"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序号</w:t>
            </w:r>
          </w:p>
        </w:tc>
        <w:tc>
          <w:tcPr>
            <w:tcW w:w="2651"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360" w:lineRule="auto"/>
              <w:jc w:val="center"/>
              <w:rPr>
                <w:rFonts w:hint="eastAsia"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项目名称</w:t>
            </w:r>
          </w:p>
        </w:tc>
        <w:tc>
          <w:tcPr>
            <w:tcW w:w="2115"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360" w:lineRule="auto"/>
              <w:jc w:val="center"/>
              <w:rPr>
                <w:rFonts w:hint="eastAsia"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数量</w:t>
            </w:r>
          </w:p>
        </w:tc>
        <w:tc>
          <w:tcPr>
            <w:tcW w:w="2248"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360" w:lineRule="auto"/>
              <w:jc w:val="center"/>
              <w:rPr>
                <w:rFonts w:hint="eastAsia"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品牌及型号</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4" w:hRule="exact"/>
        </w:trPr>
        <w:tc>
          <w:tcPr>
            <w:tcW w:w="1140" w:type="dxa"/>
            <w:tcBorders>
              <w:top w:val="nil"/>
              <w:left w:val="single" w:color="000000" w:sz="8" w:space="0"/>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360" w:lineRule="auto"/>
              <w:jc w:val="center"/>
              <w:rPr>
                <w:rFonts w:hint="eastAsia"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1</w:t>
            </w:r>
          </w:p>
        </w:tc>
        <w:tc>
          <w:tcPr>
            <w:tcW w:w="2651"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360" w:lineRule="auto"/>
              <w:rPr>
                <w:rFonts w:hint="eastAsia"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 xml:space="preserve"> </w:t>
            </w:r>
          </w:p>
        </w:tc>
        <w:tc>
          <w:tcPr>
            <w:tcW w:w="2115"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360" w:lineRule="auto"/>
              <w:rPr>
                <w:rFonts w:hint="eastAsia"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 xml:space="preserve"> </w:t>
            </w:r>
          </w:p>
        </w:tc>
        <w:tc>
          <w:tcPr>
            <w:tcW w:w="2248"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360" w:lineRule="auto"/>
              <w:rPr>
                <w:rFonts w:hint="eastAsia" w:ascii="仿宋_GB2312" w:hAnsi="仿宋_GB2312" w:eastAsia="仿宋_GB2312" w:cs="仿宋_GB2312"/>
                <w:bCs/>
                <w:sz w:val="28"/>
                <w:szCs w:val="28"/>
                <w:shd w:val="clear" w:color="auto" w:fill="FFFFFF"/>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4" w:hRule="exact"/>
        </w:trPr>
        <w:tc>
          <w:tcPr>
            <w:tcW w:w="1140" w:type="dxa"/>
            <w:tcBorders>
              <w:top w:val="nil"/>
              <w:left w:val="single" w:color="000000" w:sz="8" w:space="0"/>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360" w:lineRule="auto"/>
              <w:jc w:val="center"/>
              <w:rPr>
                <w:rFonts w:hint="eastAsia"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2</w:t>
            </w:r>
          </w:p>
        </w:tc>
        <w:tc>
          <w:tcPr>
            <w:tcW w:w="2651"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360" w:lineRule="auto"/>
              <w:rPr>
                <w:rFonts w:hint="eastAsia"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 xml:space="preserve"> </w:t>
            </w:r>
          </w:p>
        </w:tc>
        <w:tc>
          <w:tcPr>
            <w:tcW w:w="2115"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360" w:lineRule="auto"/>
              <w:rPr>
                <w:rFonts w:hint="eastAsia"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 xml:space="preserve"> </w:t>
            </w:r>
          </w:p>
        </w:tc>
        <w:tc>
          <w:tcPr>
            <w:tcW w:w="2248"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360" w:lineRule="auto"/>
              <w:rPr>
                <w:rFonts w:hint="eastAsia" w:ascii="仿宋_GB2312" w:hAnsi="仿宋_GB2312" w:eastAsia="仿宋_GB2312" w:cs="仿宋_GB2312"/>
                <w:bCs/>
                <w:sz w:val="28"/>
                <w:szCs w:val="28"/>
                <w:shd w:val="clear" w:color="auto" w:fill="FFFFFF"/>
              </w:rPr>
            </w:pPr>
          </w:p>
        </w:tc>
      </w:tr>
    </w:tbl>
    <w:p>
      <w:pPr>
        <w:shd w:val="solid" w:color="FFFFFF" w:fill="auto"/>
        <w:autoSpaceDN w:val="0"/>
        <w:spacing w:line="360" w:lineRule="auto"/>
        <w:rPr>
          <w:rFonts w:hint="eastAsia" w:ascii="仿宋_GB2312" w:hAnsi="仿宋_GB2312" w:eastAsia="仿宋_GB2312" w:cs="仿宋_GB2312"/>
          <w:bCs/>
          <w:sz w:val="32"/>
          <w:szCs w:val="32"/>
          <w:shd w:val="clear" w:color="auto" w:fill="FFFFFF"/>
        </w:rPr>
      </w:pPr>
    </w:p>
    <w:p>
      <w:pPr>
        <w:shd w:val="solid" w:color="FFFFFF" w:fill="auto"/>
        <w:autoSpaceDN w:val="0"/>
        <w:spacing w:line="360" w:lineRule="auto"/>
        <w:rPr>
          <w:rFonts w:hint="eastAsia" w:ascii="仿宋_GB2312" w:hAnsi="仿宋_GB2312" w:eastAsia="仿宋_GB2312" w:cs="仿宋_GB2312"/>
          <w:bCs/>
          <w:sz w:val="32"/>
          <w:szCs w:val="32"/>
          <w:shd w:val="clear" w:color="auto" w:fill="FFFFFF"/>
        </w:rPr>
      </w:pPr>
    </w:p>
    <w:p>
      <w:pPr>
        <w:shd w:val="solid" w:color="FFFFFF" w:fill="auto"/>
        <w:autoSpaceDN w:val="0"/>
        <w:spacing w:line="360" w:lineRule="auto"/>
        <w:rPr>
          <w:rFonts w:hint="eastAsia"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公司名称：</w:t>
      </w:r>
    </w:p>
    <w:p>
      <w:pPr>
        <w:shd w:val="solid" w:color="FFFFFF" w:fill="auto"/>
        <w:autoSpaceDN w:val="0"/>
        <w:spacing w:line="360" w:lineRule="auto"/>
        <w:rPr>
          <w:rFonts w:hint="eastAsia"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 xml:space="preserve">联系人：　 </w:t>
      </w:r>
    </w:p>
    <w:p>
      <w:pPr>
        <w:shd w:val="solid" w:color="FFFFFF" w:fill="auto"/>
        <w:autoSpaceDN w:val="0"/>
        <w:spacing w:line="360" w:lineRule="auto"/>
        <w:rPr>
          <w:rFonts w:hint="eastAsia"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联系电话：</w:t>
      </w:r>
    </w:p>
    <w:p>
      <w:pPr>
        <w:shd w:val="solid" w:color="FFFFFF" w:fill="auto"/>
        <w:autoSpaceDN w:val="0"/>
        <w:spacing w:line="360" w:lineRule="auto"/>
        <w:rPr>
          <w:rFonts w:hint="eastAsia"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公司盖章：</w:t>
      </w:r>
    </w:p>
    <w:p>
      <w:pPr>
        <w:shd w:val="solid" w:color="FFFFFF" w:fill="auto"/>
        <w:autoSpaceDN w:val="0"/>
        <w:spacing w:line="360" w:lineRule="auto"/>
        <w:rPr>
          <w:rFonts w:hint="eastAsia" w:ascii="仿宋_GB2312" w:hAnsi="仿宋_GB2312" w:eastAsia="仿宋_GB2312" w:cs="仿宋_GB2312"/>
          <w:bCs/>
          <w:sz w:val="32"/>
          <w:szCs w:val="32"/>
          <w:shd w:val="clear" w:color="auto" w:fill="FFFFFF"/>
        </w:rPr>
      </w:pPr>
    </w:p>
    <w:p>
      <w:pPr>
        <w:pStyle w:val="13"/>
        <w:spacing w:line="360" w:lineRule="auto"/>
        <w:rPr>
          <w:rFonts w:hint="eastAsia" w:ascii="仿宋_GB2312" w:hAnsi="仿宋_GB2312" w:cs="仿宋_GB2312"/>
          <w:bCs/>
          <w:sz w:val="32"/>
          <w:szCs w:val="32"/>
          <w:shd w:val="clear" w:color="auto" w:fill="FFFFFF"/>
        </w:rPr>
      </w:pPr>
    </w:p>
    <w:p>
      <w:pPr>
        <w:pStyle w:val="13"/>
        <w:spacing w:line="360" w:lineRule="auto"/>
        <w:rPr>
          <w:rFonts w:hint="eastAsia" w:ascii="仿宋_GB2312" w:hAnsi="仿宋_GB2312" w:cs="仿宋_GB2312"/>
          <w:sz w:val="32"/>
          <w:szCs w:val="32"/>
        </w:rPr>
      </w:pPr>
      <w:r>
        <w:rPr>
          <w:rFonts w:hint="eastAsia" w:ascii="仿宋_GB2312" w:hAnsi="仿宋_GB2312" w:cs="仿宋_GB2312"/>
          <w:sz w:val="32"/>
          <w:szCs w:val="32"/>
        </w:rPr>
        <w:t xml:space="preserve">                                        福建省肿瘤医院</w:t>
      </w:r>
    </w:p>
    <w:p>
      <w:pPr>
        <w:pStyle w:val="13"/>
        <w:spacing w:line="360" w:lineRule="auto"/>
        <w:rPr>
          <w:rFonts w:hint="eastAsia" w:ascii="仿宋_GB2312" w:hAnsi="仿宋_GB2312" w:cs="仿宋_GB2312"/>
          <w:sz w:val="32"/>
          <w:szCs w:val="32"/>
        </w:rPr>
      </w:pPr>
      <w:r>
        <w:rPr>
          <w:rFonts w:hint="eastAsia" w:ascii="仿宋_GB2312" w:hAnsi="仿宋_GB2312" w:cs="仿宋_GB2312"/>
          <w:sz w:val="32"/>
          <w:szCs w:val="32"/>
        </w:rPr>
        <w:t xml:space="preserve">                                           年  月  日</w:t>
      </w:r>
    </w:p>
    <w:p/>
    <w:sectPr>
      <w:footerReference r:id="rId3" w:type="default"/>
      <w:pgSz w:w="12240" w:h="15840"/>
      <w:pgMar w:top="1417" w:right="1587" w:bottom="1417" w:left="1587" w:header="720" w:footer="720" w:gutter="0"/>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rFonts w:cs="Times New Roma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67945" cy="162560"/>
              <wp:effectExtent l="0" t="0" r="0" b="0"/>
              <wp:wrapNone/>
              <wp:docPr id="1" name="Quad Arrow 1025"/>
              <wp:cNvGraphicFramePr/>
              <a:graphic xmlns:a="http://schemas.openxmlformats.org/drawingml/2006/main">
                <a:graphicData uri="http://schemas.microsoft.com/office/word/2010/wordprocessingShape">
                  <wps:wsp>
                    <wps:cNvSpPr/>
                    <wps:spPr>
                      <a:xfrm>
                        <a:off x="0" y="0"/>
                        <a:ext cx="67945" cy="16256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wps:txbx>
                    <wps:bodyPr wrap="none" lIns="0" tIns="0" rIns="0" bIns="0" upright="1">
                      <a:spAutoFit/>
                    </wps:bodyPr>
                  </wps:wsp>
                </a:graphicData>
              </a:graphic>
            </wp:anchor>
          </w:drawing>
        </mc:Choice>
        <mc:Fallback>
          <w:pict>
            <v:rect id="Quad Arrow 1025" o:spid="_x0000_s1026" o:spt="1" style="position:absolute;left:0pt;margin-top:0pt;height:12.8pt;width:5.35pt;mso-position-horizontal:center;mso-position-horizontal-relative:margin;mso-wrap-style:none;z-index:251659264;mso-width-relative:page;mso-height-relative:page;" filled="f" stroked="f" coordsize="21600,21600" o:gfxdata="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XFpMj9EAAAADAQAADwAAAAAAAAABACAAAAAiAAAAZHJzL2Rvd25yZXYueG1sUEsBAhQAFAAA&#10;AAgAh07iQDzBcNu9AQAAkAMAAA4AAAAAAAAAAQAgAAAAIAEAAGRycy9lMm9Eb2MueG1sUEsFBgAA&#10;AAAGAAYAWQEAAE8FA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551602"/>
    <w:multiLevelType w:val="singleLevel"/>
    <w:tmpl w:val="53551602"/>
    <w:lvl w:ilvl="0" w:tentative="0">
      <w:start w:val="3"/>
      <w:numFmt w:val="chineseCounting"/>
      <w:suff w:val="nothing"/>
      <w:lvlText w:val="%1、"/>
      <w:lvlJc w:val="left"/>
      <w:rPr>
        <w:rFonts w:hint="eastAsia"/>
      </w:rPr>
    </w:lvl>
  </w:abstractNum>
  <w:abstractNum w:abstractNumId="1">
    <w:nsid w:val="67B4397F"/>
    <w:multiLevelType w:val="singleLevel"/>
    <w:tmpl w:val="67B4397F"/>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RlNzZiNjE1N2NiNDY1MjdjNTllOWUxMWU4Y2ZiZGQifQ=="/>
  </w:docVars>
  <w:rsids>
    <w:rsidRoot w:val="003E746A"/>
    <w:rsid w:val="0000160D"/>
    <w:rsid w:val="0003757E"/>
    <w:rsid w:val="000A0761"/>
    <w:rsid w:val="002A0C62"/>
    <w:rsid w:val="003B2130"/>
    <w:rsid w:val="003E746A"/>
    <w:rsid w:val="00441F37"/>
    <w:rsid w:val="005843F6"/>
    <w:rsid w:val="005B603B"/>
    <w:rsid w:val="005E1C5A"/>
    <w:rsid w:val="00677CA2"/>
    <w:rsid w:val="00724121"/>
    <w:rsid w:val="00775394"/>
    <w:rsid w:val="007F17B5"/>
    <w:rsid w:val="00805947"/>
    <w:rsid w:val="0082491A"/>
    <w:rsid w:val="00830945"/>
    <w:rsid w:val="008368CF"/>
    <w:rsid w:val="008D777B"/>
    <w:rsid w:val="008F6746"/>
    <w:rsid w:val="009278D1"/>
    <w:rsid w:val="00950902"/>
    <w:rsid w:val="009C3229"/>
    <w:rsid w:val="00B662ED"/>
    <w:rsid w:val="00B7053D"/>
    <w:rsid w:val="00C278CC"/>
    <w:rsid w:val="00C771A8"/>
    <w:rsid w:val="00CE4782"/>
    <w:rsid w:val="00CF05B5"/>
    <w:rsid w:val="00D2760A"/>
    <w:rsid w:val="00E41ADB"/>
    <w:rsid w:val="00E852DA"/>
    <w:rsid w:val="00FF177E"/>
    <w:rsid w:val="031B55B3"/>
    <w:rsid w:val="0D954BE8"/>
    <w:rsid w:val="0E782A66"/>
    <w:rsid w:val="1221517E"/>
    <w:rsid w:val="1235476B"/>
    <w:rsid w:val="13C42198"/>
    <w:rsid w:val="14AE30D9"/>
    <w:rsid w:val="15C3312C"/>
    <w:rsid w:val="1E95634A"/>
    <w:rsid w:val="1F5C7718"/>
    <w:rsid w:val="2A085E7C"/>
    <w:rsid w:val="2D08798C"/>
    <w:rsid w:val="2D623AD7"/>
    <w:rsid w:val="2DC15E45"/>
    <w:rsid w:val="2EB6608C"/>
    <w:rsid w:val="2F5A51B9"/>
    <w:rsid w:val="2FD51B22"/>
    <w:rsid w:val="31C8341C"/>
    <w:rsid w:val="3A394FD8"/>
    <w:rsid w:val="483B0E27"/>
    <w:rsid w:val="493778DE"/>
    <w:rsid w:val="4C30499D"/>
    <w:rsid w:val="4CF5B425"/>
    <w:rsid w:val="501954ED"/>
    <w:rsid w:val="54653A5E"/>
    <w:rsid w:val="56650E2A"/>
    <w:rsid w:val="5B4C2D77"/>
    <w:rsid w:val="5C0678E3"/>
    <w:rsid w:val="65E75217"/>
    <w:rsid w:val="6ADFB210"/>
    <w:rsid w:val="6C8F7517"/>
    <w:rsid w:val="741833D9"/>
    <w:rsid w:val="75E50979"/>
    <w:rsid w:val="76BF5FEE"/>
    <w:rsid w:val="787E7C64"/>
    <w:rsid w:val="7B6E21D2"/>
    <w:rsid w:val="7BFBA317"/>
    <w:rsid w:val="7BFE0E71"/>
    <w:rsid w:val="7D7F7A0B"/>
    <w:rsid w:val="7E7D3992"/>
    <w:rsid w:val="9FBDC09D"/>
    <w:rsid w:val="AC6FCE0C"/>
    <w:rsid w:val="BFE0F947"/>
    <w:rsid w:val="CBFDA174"/>
    <w:rsid w:val="EFFFF7F1"/>
    <w:rsid w:val="F73FA6E0"/>
    <w:rsid w:val="FEEFF000"/>
    <w:rsid w:val="FF4D47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99"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bidi="ar-SA"/>
    </w:rPr>
  </w:style>
  <w:style w:type="paragraph" w:styleId="3">
    <w:name w:val="heading 1"/>
    <w:basedOn w:val="1"/>
    <w:next w:val="1"/>
    <w:qFormat/>
    <w:uiPriority w:val="0"/>
    <w:pPr>
      <w:keepNext/>
      <w:keepLines/>
      <w:spacing w:line="576" w:lineRule="auto"/>
      <w:outlineLvl w:val="0"/>
    </w:pPr>
    <w:rPr>
      <w:b/>
      <w:kern w:val="44"/>
      <w:sz w:val="4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rPr>
      <w:rFonts w:ascii="仿宋_GB2312" w:eastAsia="仿宋_GB2312"/>
      <w:sz w:val="32"/>
    </w:rPr>
  </w:style>
  <w:style w:type="paragraph" w:styleId="4">
    <w:name w:val="annotation text"/>
    <w:basedOn w:val="1"/>
    <w:link w:val="19"/>
    <w:qFormat/>
    <w:uiPriority w:val="0"/>
    <w:pPr>
      <w:jc w:val="left"/>
    </w:p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link w:val="15"/>
    <w:qFormat/>
    <w:uiPriority w:val="0"/>
    <w:pPr>
      <w:tabs>
        <w:tab w:val="center" w:pos="4153"/>
        <w:tab w:val="right" w:pos="8306"/>
      </w:tabs>
      <w:snapToGrid w:val="0"/>
      <w:jc w:val="center"/>
    </w:pPr>
    <w:rPr>
      <w:sz w:val="18"/>
      <w:szCs w:val="18"/>
    </w:rPr>
  </w:style>
  <w:style w:type="paragraph" w:styleId="7">
    <w:name w:val="Normal (Web)"/>
    <w:basedOn w:val="1"/>
    <w:qFormat/>
    <w:uiPriority w:val="0"/>
    <w:pPr>
      <w:spacing w:line="336" w:lineRule="auto"/>
      <w:jc w:val="left"/>
    </w:pPr>
    <w:rPr>
      <w:rFonts w:ascii="宋体" w:hAnsi="宋体"/>
      <w:kern w:val="0"/>
      <w:sz w:val="24"/>
    </w:rPr>
  </w:style>
  <w:style w:type="paragraph" w:styleId="8">
    <w:name w:val="annotation subject"/>
    <w:basedOn w:val="4"/>
    <w:next w:val="4"/>
    <w:link w:val="20"/>
    <w:qFormat/>
    <w:uiPriority w:val="0"/>
    <w:rPr>
      <w:b/>
      <w:bCs/>
    </w:rPr>
  </w:style>
  <w:style w:type="table" w:styleId="10">
    <w:name w:val="Table Grid"/>
    <w:basedOn w:val="9"/>
    <w:semiHidden/>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annotation reference"/>
    <w:basedOn w:val="11"/>
    <w:qFormat/>
    <w:uiPriority w:val="0"/>
    <w:rPr>
      <w:sz w:val="21"/>
      <w:szCs w:val="21"/>
    </w:rPr>
  </w:style>
  <w:style w:type="paragraph" w:customStyle="1" w:styleId="13">
    <w:name w:val="Fließtext"/>
    <w:basedOn w:val="1"/>
    <w:qFormat/>
    <w:uiPriority w:val="0"/>
    <w:pPr>
      <w:overflowPunct w:val="0"/>
      <w:autoSpaceDE w:val="0"/>
      <w:autoSpaceDN w:val="0"/>
      <w:adjustRightInd w:val="0"/>
      <w:textAlignment w:val="baseline"/>
    </w:pPr>
    <w:rPr>
      <w:rFonts w:eastAsia="仿宋_GB2312"/>
      <w:kern w:val="28"/>
      <w:sz w:val="24"/>
      <w:szCs w:val="20"/>
    </w:rPr>
  </w:style>
  <w:style w:type="paragraph" w:customStyle="1" w:styleId="14">
    <w:name w:val="p0"/>
    <w:basedOn w:val="1"/>
    <w:qFormat/>
    <w:uiPriority w:val="0"/>
    <w:pPr>
      <w:widowControl/>
      <w:spacing w:before="100" w:beforeAutospacing="1" w:after="100" w:afterAutospacing="1"/>
      <w:jc w:val="left"/>
    </w:pPr>
    <w:rPr>
      <w:rFonts w:ascii="宋体" w:hAnsi="宋体" w:cs="宋体"/>
      <w:kern w:val="0"/>
      <w:sz w:val="24"/>
    </w:rPr>
  </w:style>
  <w:style w:type="character" w:customStyle="1" w:styleId="15">
    <w:name w:val="页眉 字符"/>
    <w:basedOn w:val="11"/>
    <w:link w:val="6"/>
    <w:qFormat/>
    <w:uiPriority w:val="0"/>
    <w:rPr>
      <w:rFonts w:ascii="Calibri" w:hAnsi="Calibri" w:eastAsia="宋体" w:cs="黑体"/>
      <w:kern w:val="2"/>
      <w:sz w:val="18"/>
      <w:szCs w:val="18"/>
    </w:rPr>
  </w:style>
  <w:style w:type="paragraph" w:customStyle="1" w:styleId="16">
    <w:name w:val="修订1"/>
    <w:hidden/>
    <w:unhideWhenUsed/>
    <w:qFormat/>
    <w:uiPriority w:val="99"/>
    <w:rPr>
      <w:rFonts w:ascii="Calibri" w:hAnsi="Calibri" w:eastAsia="宋体" w:cs="黑体"/>
      <w:kern w:val="2"/>
      <w:sz w:val="21"/>
      <w:szCs w:val="24"/>
      <w:lang w:val="en-US" w:eastAsia="zh-CN" w:bidi="ar-SA"/>
    </w:rPr>
  </w:style>
  <w:style w:type="character" w:customStyle="1" w:styleId="17">
    <w:name w:val="列表段落 字符"/>
    <w:link w:val="18"/>
    <w:qFormat/>
    <w:uiPriority w:val="34"/>
    <w:rPr>
      <w:kern w:val="2"/>
      <w:sz w:val="21"/>
      <w:szCs w:val="24"/>
    </w:rPr>
  </w:style>
  <w:style w:type="paragraph" w:styleId="18">
    <w:name w:val="List Paragraph"/>
    <w:basedOn w:val="1"/>
    <w:link w:val="17"/>
    <w:qFormat/>
    <w:uiPriority w:val="34"/>
    <w:pPr>
      <w:ind w:firstLine="420" w:firstLineChars="200"/>
    </w:pPr>
    <w:rPr>
      <w:rFonts w:asciiTheme="minorHAnsi" w:hAnsiTheme="minorHAnsi" w:eastAsiaTheme="minorEastAsia" w:cstheme="minorBidi"/>
    </w:rPr>
  </w:style>
  <w:style w:type="character" w:customStyle="1" w:styleId="19">
    <w:name w:val="批注文字 字符"/>
    <w:basedOn w:val="11"/>
    <w:link w:val="4"/>
    <w:qFormat/>
    <w:uiPriority w:val="0"/>
    <w:rPr>
      <w:rFonts w:ascii="Calibri" w:hAnsi="Calibri" w:eastAsia="宋体" w:cs="黑体"/>
      <w:kern w:val="2"/>
      <w:sz w:val="21"/>
      <w:szCs w:val="24"/>
    </w:rPr>
  </w:style>
  <w:style w:type="character" w:customStyle="1" w:styleId="20">
    <w:name w:val="批注主题 字符"/>
    <w:basedOn w:val="19"/>
    <w:link w:val="8"/>
    <w:qFormat/>
    <w:uiPriority w:val="0"/>
    <w:rPr>
      <w:rFonts w:ascii="Calibri" w:hAnsi="Calibri" w:eastAsia="宋体" w:cs="黑体"/>
      <w:b/>
      <w:bCs/>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2896</Words>
  <Characters>3330</Characters>
  <Lines>21</Lines>
  <Paragraphs>5</Paragraphs>
  <TotalTime>2</TotalTime>
  <ScaleCrop>false</ScaleCrop>
  <LinksUpToDate>false</LinksUpToDate>
  <CharactersWithSpaces>3515</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2025-06-30T04:25:00Z</dcterms:created>
  <dc:creator>帅如狗</dc:creator>
  <cp:lastModifiedBy>蓝风</cp:lastModifiedBy>
  <cp:lastPrinted>2025-05-28T00:46:00Z</cp:lastPrinted>
  <dcterms:modified xsi:type="dcterms:W3CDTF">2025-11-07T00:19:57Z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KSOTemplateDocerSaveRecord">
    <vt:lpwstr>eyJoZGlkIjoiMzcyYzQ4MzExOWIxM2ZmZWE3MDIzNjczNzVlZjFmOWYiLCJ1c2VySWQiOiIxNzAwODQwNTc2In0=</vt:lpwstr>
  </property>
  <property fmtid="{D5CDD505-2E9C-101B-9397-08002B2CF9AE}" pid="4" name="ICV">
    <vt:lpwstr>27206F4C75A446149EFE284070517F42_13</vt:lpwstr>
  </property>
</Properties>
</file>