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福建省肿瘤医院医用手持终端（PDA）</w:t>
      </w:r>
    </w:p>
    <w:p>
      <w:pPr>
        <w:pStyle w:val="2"/>
        <w:spacing w:after="0" w:line="360" w:lineRule="auto"/>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lang w:val="en-US" w:eastAsia="zh-CN"/>
        </w:rPr>
        <w:t>网超品牌论证</w:t>
      </w:r>
      <w:r>
        <w:rPr>
          <w:rFonts w:hint="eastAsia" w:ascii="方正小标宋简体" w:hAnsi="方正小标宋简体" w:eastAsia="方正小标宋简体" w:cs="方正小标宋简体"/>
          <w:b w:val="0"/>
          <w:kern w:val="2"/>
          <w:szCs w:val="44"/>
        </w:rPr>
        <w:t>公告</w:t>
      </w:r>
    </w:p>
    <w:p>
      <w:pPr>
        <w:widowControl/>
        <w:shd w:val="clear" w:color="auto" w:fill="FFFFFF"/>
        <w:adjustRightInd w:val="0"/>
        <w:snapToGrid w:val="0"/>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医用手持终端（PDA）</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27</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31</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after="0"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after="0"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after="0" w:line="360" w:lineRule="auto"/>
        <w:ind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lang w:val="en-US" w:eastAsia="zh-CN"/>
        </w:rPr>
        <w:t>郑工</w:t>
      </w:r>
    </w:p>
    <w:p>
      <w:pPr>
        <w:pStyle w:val="12"/>
        <w:spacing w:after="0" w:line="360" w:lineRule="auto"/>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Spec="center" w:tblpY="283"/>
        <w:tblOverlap w:val="never"/>
        <w:tblW w:w="8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1"/>
        <w:gridCol w:w="3178"/>
        <w:gridCol w:w="1590"/>
        <w:gridCol w:w="1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2041" w:type="dxa"/>
            <w:vAlign w:val="top"/>
          </w:tcPr>
          <w:p>
            <w:pPr>
              <w:widowControl/>
              <w:spacing w:after="0" w:line="360" w:lineRule="auto"/>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178" w:type="dxa"/>
            <w:vAlign w:val="top"/>
          </w:tcPr>
          <w:p>
            <w:pPr>
              <w:widowControl/>
              <w:spacing w:after="0"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top"/>
          </w:tcPr>
          <w:p>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756" w:type="dxa"/>
            <w:vAlign w:val="top"/>
          </w:tcPr>
          <w:p>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2041" w:type="dxa"/>
            <w:vAlign w:val="center"/>
          </w:tcPr>
          <w:p>
            <w:pPr>
              <w:widowControl/>
              <w:spacing w:after="0" w:line="360" w:lineRule="auto"/>
              <w:jc w:val="center"/>
              <w:rPr>
                <w:rFonts w:ascii="仿宋_GB2312" w:hAnsi="仿宋_GB2312" w:eastAsia="仿宋_GB2312" w:cs="仿宋_GB2312"/>
                <w:sz w:val="32"/>
                <w:szCs w:val="32"/>
              </w:rPr>
            </w:pPr>
            <w:r>
              <w:rPr>
                <w:rFonts w:hint="eastAsia" w:ascii="宋体" w:hAnsi="宋体" w:cs="宋体"/>
                <w:b/>
                <w:bCs/>
                <w:color w:val="000000"/>
                <w:kern w:val="0"/>
                <w:sz w:val="24"/>
              </w:rPr>
              <w:t>（一）</w:t>
            </w:r>
          </w:p>
        </w:tc>
        <w:tc>
          <w:tcPr>
            <w:tcW w:w="3178" w:type="dxa"/>
            <w:vAlign w:val="center"/>
          </w:tcPr>
          <w:p>
            <w:pPr>
              <w:spacing w:after="0"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医用手持终端（PDA）</w:t>
            </w:r>
          </w:p>
        </w:tc>
        <w:tc>
          <w:tcPr>
            <w:tcW w:w="1590" w:type="dxa"/>
            <w:vAlign w:val="center"/>
          </w:tcPr>
          <w:p>
            <w:pPr>
              <w:spacing w:after="0"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1批</w:t>
            </w:r>
          </w:p>
        </w:tc>
        <w:tc>
          <w:tcPr>
            <w:tcW w:w="1756" w:type="dxa"/>
            <w:vAlign w:val="center"/>
          </w:tcPr>
          <w:p>
            <w:pPr>
              <w:spacing w:after="0" w:line="360" w:lineRule="auto"/>
              <w:jc w:val="center"/>
              <w:rPr>
                <w:rFonts w:hint="eastAsia" w:ascii="宋体" w:hAnsi="宋体" w:cs="宋体"/>
                <w:kern w:val="0"/>
                <w:sz w:val="24"/>
              </w:rPr>
            </w:pPr>
            <w:r>
              <w:rPr>
                <w:rFonts w:hint="eastAsia" w:ascii="宋体" w:hAnsi="宋体" w:cs="宋体"/>
                <w:kern w:val="0"/>
                <w:sz w:val="24"/>
                <w:lang w:val="en-US" w:eastAsia="zh-CN"/>
              </w:rPr>
              <w:t>20</w:t>
            </w:r>
          </w:p>
        </w:tc>
      </w:tr>
    </w:tbl>
    <w:p/>
    <w:p>
      <w:pPr>
        <w:keepNext/>
        <w:widowControl/>
        <w:shd w:val="clear" w:color="auto" w:fill="FFFFFF"/>
        <w:autoSpaceDE w:val="0"/>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二、技术功能及服务要求（以“★”标示的内容为不允许负偏离的实质性要求）</w:t>
      </w:r>
    </w:p>
    <w:p>
      <w:pPr>
        <w:pStyle w:val="12"/>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Style w:val="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850"/>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序号</w:t>
            </w:r>
          </w:p>
        </w:tc>
        <w:tc>
          <w:tcPr>
            <w:tcW w:w="1418"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项目</w:t>
            </w:r>
          </w:p>
        </w:tc>
        <w:tc>
          <w:tcPr>
            <w:tcW w:w="850"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数量</w:t>
            </w:r>
          </w:p>
        </w:tc>
        <w:tc>
          <w:tcPr>
            <w:tcW w:w="6379"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snapToGrid w:val="0"/>
              <w:spacing w:after="0" w:line="360" w:lineRule="auto"/>
              <w:jc w:val="center"/>
              <w:rPr>
                <w:rFonts w:ascii="宋体" w:hAnsi="宋体" w:cs="宋体"/>
                <w:kern w:val="0"/>
                <w:sz w:val="24"/>
              </w:rPr>
            </w:pPr>
            <w:r>
              <w:rPr>
                <w:rFonts w:hint="eastAsia" w:ascii="宋体" w:hAnsi="宋体" w:cs="宋体"/>
                <w:kern w:val="0"/>
                <w:sz w:val="24"/>
              </w:rPr>
              <w:t>1</w:t>
            </w:r>
          </w:p>
        </w:tc>
        <w:tc>
          <w:tcPr>
            <w:tcW w:w="1418" w:type="dxa"/>
            <w:vAlign w:val="center"/>
          </w:tcPr>
          <w:p>
            <w:pPr>
              <w:snapToGrid w:val="0"/>
              <w:spacing w:after="0" w:line="360" w:lineRule="auto"/>
              <w:jc w:val="center"/>
              <w:rPr>
                <w:rFonts w:hint="default" w:ascii="宋体" w:hAnsi="宋体" w:eastAsia="宋体" w:cs="宋体"/>
                <w:kern w:val="0"/>
                <w:sz w:val="24"/>
                <w:lang w:val="en-US" w:eastAsia="zh-CN"/>
              </w:rPr>
            </w:pPr>
            <w:r>
              <w:rPr>
                <w:rFonts w:hint="eastAsia" w:ascii="仿宋_GB2312" w:hAnsi="仿宋_GB2312" w:eastAsia="仿宋_GB2312" w:cs="仿宋_GB2312"/>
                <w:color w:val="000000"/>
                <w:kern w:val="0"/>
                <w:sz w:val="28"/>
                <w:szCs w:val="28"/>
                <w:lang w:val="en-US" w:eastAsia="zh-CN"/>
              </w:rPr>
              <w:t>医用手持终端（PDA）</w:t>
            </w:r>
          </w:p>
        </w:tc>
        <w:tc>
          <w:tcPr>
            <w:tcW w:w="850" w:type="dxa"/>
            <w:vAlign w:val="center"/>
          </w:tcPr>
          <w:p>
            <w:pPr>
              <w:snapToGrid w:val="0"/>
              <w:spacing w:after="0"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批</w:t>
            </w:r>
          </w:p>
        </w:tc>
        <w:tc>
          <w:tcPr>
            <w:tcW w:w="6379" w:type="dxa"/>
            <w:vAlign w:val="top"/>
          </w:tcPr>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处理器 ≥八核2.0GHz高性能处理器</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操作系统 Android 11或以上</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储存器 64GB ROM+4GB RAM，最大可支持256G外部储存</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显示 5.2-5.5英寸</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分辨率 ≥1440*720</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摄像头 800万像素前置摄像头，1600万像素后置摄像头，支持自动对焦</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 xml:space="preserve">电池 </w:t>
            </w:r>
            <w:r>
              <w:rPr>
                <w:rFonts w:hint="default"/>
                <w:sz w:val="24"/>
                <w:szCs w:val="24"/>
                <w:lang w:val="en-US" w:eastAsia="zh-CN"/>
              </w:rPr>
              <w:t>≥4500mAh锂离子电池，为便于后期更换，电池可免工具直接拆卸并更换，电池盖锁扣方式专利</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充电 支持QC 3.0快充</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触摸 工业级电容触控屏，支持戴手套触控</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提示 大功率喇叭/振动提示/LED提示/音频提示</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接口 Type-C的USB 接口</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重量 ≤260g（含电池）</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条码引擎 支持国际通用的一维条码与二维条码，扫描引擎与所投设备品牌一致，并具有扫描引擎专利证书与外观专利证书</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防护等级 IP68或以上</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外壳材料 医疗白色专用抑菌材料，可耐受医用酒精、过氧化氢、丙乙醇、聚维酮碘等医院常用消毒剂</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键盘 触控屏+功能键，不带数字和字母键盘；功能键：音量上调/下调键、左右扫描键、电源键；具备虚拟触控式返回键、菜单键，主页键；屏幕下方无实体按键以防渗液</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指纹识别 可选支持指纹识别，便于身份识别，登录账户</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WLAN IEEE 802.11 a/b/g/n/ac/ax/ready/d/e/h/ i/k/ r/u/w /v , 2X2 MU-MIMO，支持快速漫游</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蓝牙 Bluetooth V5.1</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抗跌落能力 能承受不低于 1.5 米水泥地面的跌落冲击</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电池续航 电池连续工作时间≥16小时（非待机时间）</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售后服务 主机保修三年（含屏幕更换服务，电池随机保修一年），需出具原厂售后服务承诺函</w:t>
            </w:r>
          </w:p>
          <w:p>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快速部署 支持通过扫描二维码的方式快速部署应用软件安装</w:t>
            </w:r>
          </w:p>
          <w:p>
            <w:pPr>
              <w:numPr>
                <w:ilvl w:val="0"/>
                <w:numId w:val="1"/>
              </w:numPr>
              <w:spacing w:after="0" w:line="360" w:lineRule="auto"/>
              <w:ind w:leftChars="0"/>
              <w:jc w:val="left"/>
              <w:rPr>
                <w:rFonts w:hint="default"/>
                <w:lang w:val="en-US" w:eastAsia="zh-CN"/>
              </w:rPr>
            </w:pPr>
            <w:r>
              <w:rPr>
                <w:rFonts w:hint="eastAsia"/>
                <w:sz w:val="24"/>
                <w:szCs w:val="24"/>
                <w:lang w:val="en-US" w:eastAsia="zh-CN"/>
              </w:rPr>
              <w:t>设备管理 附带PDA管理平台，具备设备管理功能。可远程推送软件或擦除数据；可无线远程控制和实时远程查看，便于管理者更迅速的了解设备状况，及时解决问题。</w:t>
            </w:r>
          </w:p>
        </w:tc>
      </w:tr>
    </w:tbl>
    <w:p>
      <w:pPr>
        <w:numPr>
          <w:ilvl w:val="0"/>
          <w:numId w:val="2"/>
        </w:numPr>
        <w:spacing w:after="0" w:line="360" w:lineRule="auto"/>
        <w:rPr>
          <w:rFonts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bCs/>
          <w:sz w:val="32"/>
          <w:szCs w:val="32"/>
        </w:rPr>
        <w:t>其他要求</w:t>
      </w:r>
    </w:p>
    <w:p>
      <w:pPr>
        <w:pStyle w:val="16"/>
        <w:spacing w:before="0" w:beforeAutospacing="0" w:after="0" w:afterAutospacing="0" w:line="480" w:lineRule="atLeast"/>
        <w:ind w:firstLine="640"/>
        <w:jc w:val="both"/>
      </w:pPr>
      <w:r>
        <w:rPr>
          <w:rStyle w:val="18"/>
          <w:rFonts w:hint="eastAsia" w:ascii="仿宋_GB2312" w:eastAsia="仿宋_GB2312"/>
          <w:sz w:val="32"/>
          <w:szCs w:val="32"/>
        </w:rPr>
        <w:t>1、本项目为</w:t>
      </w:r>
      <w:r>
        <w:rPr>
          <w:rStyle w:val="18"/>
          <w:rFonts w:hint="eastAsia" w:ascii="仿宋_GB2312" w:eastAsia="仿宋_GB2312"/>
          <w:sz w:val="32"/>
          <w:szCs w:val="32"/>
          <w:lang w:val="en-US" w:eastAsia="zh-CN"/>
        </w:rPr>
        <w:t>国产品牌</w:t>
      </w:r>
      <w:r>
        <w:rPr>
          <w:rStyle w:val="18"/>
          <w:rFonts w:hint="eastAsia" w:ascii="仿宋_GB2312" w:eastAsia="仿宋_GB2312"/>
          <w:sz w:val="32"/>
          <w:szCs w:val="32"/>
        </w:rPr>
        <w:t>，设备安装、系统集成、软件客户化均由乙方负责。提供设备</w:t>
      </w:r>
      <w:r>
        <w:rPr>
          <w:rStyle w:val="18"/>
          <w:rFonts w:hint="eastAsia" w:ascii="仿宋_GB2312" w:eastAsia="仿宋_GB2312"/>
          <w:sz w:val="32"/>
          <w:szCs w:val="32"/>
          <w:lang w:val="en-US" w:eastAsia="zh-CN"/>
        </w:rPr>
        <w:t>软硬件安装</w:t>
      </w:r>
      <w:r>
        <w:rPr>
          <w:rStyle w:val="18"/>
          <w:rFonts w:hint="eastAsia" w:ascii="仿宋_GB2312" w:eastAsia="仿宋_GB2312"/>
          <w:sz w:val="32"/>
          <w:szCs w:val="32"/>
        </w:rPr>
        <w:t>工作，同时结合医院现有设备及应用情况，实施现有及本项目规划、等保安全、系统集成、协助完成医院评审工作包括但不限于三级等保评审、电子病历评审、互联互通评审等各项工作。</w:t>
      </w:r>
    </w:p>
    <w:p>
      <w:pPr>
        <w:pStyle w:val="12"/>
        <w:ind w:firstLine="640" w:firstLineChars="200"/>
        <w:rPr>
          <w:rFonts w:ascii="仿宋_GB2312" w:hAnsi="仿宋_GB2312" w:cs="仿宋_GB2312"/>
          <w:b/>
          <w:bCs/>
          <w:sz w:val="32"/>
          <w:szCs w:val="32"/>
        </w:rPr>
      </w:pPr>
      <w:r>
        <w:rPr>
          <w:rFonts w:hint="eastAsia" w:ascii="仿宋_GB2312" w:hAnsi="仿宋_GB2312" w:cs="仿宋_GB2312"/>
          <w:kern w:val="0"/>
          <w:sz w:val="32"/>
          <w:szCs w:val="32"/>
        </w:rPr>
        <w:t>2.本项目涉及的设备安装调试并经验收合格后，应对采购方的相关人员提供关于系统应用时技术和操作方面的培训。相关培训费用应包含在投标总价中。</w:t>
      </w:r>
    </w:p>
    <w:p>
      <w:pPr>
        <w:pStyle w:val="12"/>
        <w:numPr>
          <w:ilvl w:val="0"/>
          <w:numId w:val="2"/>
        </w:numPr>
        <w:spacing w:after="0" w:line="360" w:lineRule="auto"/>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after="0" w:line="360" w:lineRule="auto"/>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3"/>
        </w:numPr>
        <w:spacing w:after="0" w:line="360" w:lineRule="auto"/>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2"/>
        <w:spacing w:after="0" w:line="360" w:lineRule="auto"/>
      </w:pPr>
    </w:p>
    <w:p>
      <w:pPr>
        <w:widowControl/>
        <w:shd w:val="clear" w:color="auto" w:fill="FFFFFF"/>
        <w:spacing w:after="0"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after="0"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after="0" w:line="360" w:lineRule="auto"/>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after="0" w:line="360" w:lineRule="auto"/>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after="0"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bl>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pStyle w:val="12"/>
        <w:spacing w:after="0" w:line="360" w:lineRule="auto"/>
        <w:rPr>
          <w:rFonts w:ascii="仿宋_GB2312" w:hAnsi="仿宋_GB2312" w:cs="仿宋_GB2312"/>
          <w:bCs/>
          <w:sz w:val="32"/>
          <w:szCs w:val="32"/>
          <w:shd w:val="clear" w:color="auto" w:fill="FFFFFF"/>
        </w:rPr>
      </w:pPr>
    </w:p>
    <w:p>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2296E"/>
    <w:multiLevelType w:val="singleLevel"/>
    <w:tmpl w:val="A492296E"/>
    <w:lvl w:ilvl="0" w:tentative="0">
      <w:start w:val="1"/>
      <w:numFmt w:val="decimal"/>
      <w:lvlText w:val="%1."/>
      <w:lvlJc w:val="left"/>
      <w:pPr>
        <w:tabs>
          <w:tab w:val="left" w:pos="312"/>
        </w:tabs>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abstractNum w:abstractNumId="2">
    <w:nsid w:val="67B4397F"/>
    <w:multiLevelType w:val="singleLevel"/>
    <w:tmpl w:val="67B4397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03D45D33"/>
    <w:rsid w:val="06AB3EF9"/>
    <w:rsid w:val="073366F3"/>
    <w:rsid w:val="3BC417E3"/>
    <w:rsid w:val="447D605D"/>
    <w:rsid w:val="48167DDB"/>
    <w:rsid w:val="59B241EC"/>
    <w:rsid w:val="5D0921C1"/>
    <w:rsid w:val="7C263D3B"/>
    <w:rsid w:val="7F6376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link w:val="7"/>
    <w:qFormat/>
    <w:uiPriority w:val="0"/>
    <w:rPr>
      <w:rFonts w:ascii="Calibri" w:hAnsi="Calibri" w:cs="黑体"/>
      <w:kern w:val="2"/>
      <w:sz w:val="18"/>
      <w:szCs w:val="18"/>
    </w:rPr>
  </w:style>
  <w:style w:type="character" w:customStyle="1" w:styleId="18">
    <w:name w:val="b-free-read-leaf"/>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1632</Words>
  <Characters>1932</Characters>
  <Lines>26</Lines>
  <Paragraphs>7</Paragraphs>
  <TotalTime>1</TotalTime>
  <ScaleCrop>false</ScaleCrop>
  <LinksUpToDate>false</LinksUpToDate>
  <CharactersWithSpaces>2103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蓝风</cp:lastModifiedBy>
  <cp:lastPrinted>2023-06-20T07:45:00Z</cp:lastPrinted>
  <dcterms:modified xsi:type="dcterms:W3CDTF">2025-10-24T06:08:56Z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CB1A7F9F6AA24DF48A3E3B7973F34B3C_13</vt:lpwstr>
  </property>
  <property fmtid="{D5CDD505-2E9C-101B-9397-08002B2CF9AE}" pid="4" name="KSOTemplateDocerSaveRecord">
    <vt:lpwstr>eyJoZGlkIjoiMzcyYzQ4MzExOWIxM2ZmZWE3MDIzNjczNzVlZjFmOWYiLCJ1c2VySWQiOiIxNzAwODQwNTc2In0=</vt:lpwstr>
  </property>
</Properties>
</file>