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xml:space="preserve">：服务器磁盘阵列维保服务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22</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26</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28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15:00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杜工、</w:t>
      </w:r>
      <w:bookmarkStart w:id="0" w:name="_GoBack"/>
      <w:bookmarkEnd w:id="0"/>
      <w:r>
        <w:rPr>
          <w:rFonts w:hint="eastAsia" w:ascii="仿宋_GB2312" w:hAnsi="仿宋_GB2312" w:eastAsia="仿宋_GB2312" w:cs="仿宋_GB2312"/>
          <w:b w:val="0"/>
          <w:bCs/>
          <w:color w:val="000000"/>
          <w:kern w:val="0"/>
          <w:sz w:val="32"/>
          <w:szCs w:val="32"/>
          <w:shd w:val="clear" w:color="auto" w:fill="FFFFFF"/>
          <w:lang w:val="en-US" w:eastAsia="zh-CN"/>
        </w:rPr>
        <w:t>郑 工</w:t>
      </w:r>
    </w:p>
    <w:p>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spacing w:line="440" w:lineRule="atLeast"/>
        <w:jc w:val="both"/>
        <w:rPr>
          <w:rFonts w:hint="eastAsia" w:ascii="仿宋_GB2312" w:hAnsi="仿宋_GB2312" w:eastAsia="仿宋_GB2312" w:cs="仿宋_GB2312"/>
          <w:b/>
          <w:color w:val="auto"/>
          <w:kern w:val="0"/>
          <w:sz w:val="32"/>
          <w:szCs w:val="32"/>
          <w:highlight w:val="none"/>
          <w:shd w:val="clear" w:color="auto" w:fill="FFFFFF"/>
        </w:rPr>
      </w:pPr>
      <w:r>
        <w:rPr>
          <w:rFonts w:hint="eastAsia" w:ascii="仿宋_GB2312" w:hAnsi="仿宋_GB2312" w:eastAsia="仿宋_GB2312" w:cs="仿宋_GB2312"/>
          <w:b/>
          <w:color w:val="auto"/>
          <w:kern w:val="0"/>
          <w:sz w:val="32"/>
          <w:szCs w:val="32"/>
          <w:highlight w:val="none"/>
          <w:shd w:val="clear" w:color="auto" w:fill="FFFFFF"/>
          <w:lang w:val="en-US" w:eastAsia="zh-CN"/>
        </w:rPr>
        <w:t>一、</w:t>
      </w:r>
      <w:r>
        <w:rPr>
          <w:rFonts w:hint="eastAsia" w:ascii="仿宋_GB2312" w:hAnsi="仿宋_GB2312" w:eastAsia="仿宋_GB2312" w:cs="仿宋_GB2312"/>
          <w:b/>
          <w:color w:val="auto"/>
          <w:kern w:val="0"/>
          <w:sz w:val="32"/>
          <w:szCs w:val="32"/>
          <w:highlight w:val="none"/>
          <w:shd w:val="clear" w:color="auto" w:fill="FFFFFF"/>
        </w:rPr>
        <w:t>采购内容</w:t>
      </w:r>
    </w:p>
    <w:tbl>
      <w:tblPr>
        <w:tblStyle w:val="8"/>
        <w:tblpPr w:leftFromText="180" w:rightFromText="180" w:vertAnchor="text" w:horzAnchor="page" w:tblpX="1562" w:tblpY="283"/>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6"/>
        <w:gridCol w:w="3859"/>
        <w:gridCol w:w="1576"/>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59" w:type="pct"/>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合同包</w:t>
            </w:r>
          </w:p>
        </w:tc>
        <w:tc>
          <w:tcPr>
            <w:tcW w:w="2079" w:type="pct"/>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49" w:type="pct"/>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1" w:type="pct"/>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exact"/>
        </w:trPr>
        <w:tc>
          <w:tcPr>
            <w:tcW w:w="1059" w:type="pct"/>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p>
        </w:tc>
        <w:tc>
          <w:tcPr>
            <w:tcW w:w="2079" w:type="pct"/>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服务器磁盘阵列维保服务</w:t>
            </w:r>
          </w:p>
        </w:tc>
        <w:tc>
          <w:tcPr>
            <w:tcW w:w="849" w:type="pct"/>
            <w:vAlign w:val="center"/>
          </w:tcPr>
          <w:p>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1" w:type="pct"/>
            <w:vAlign w:val="center"/>
          </w:tcPr>
          <w:p>
            <w:pP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r>
    </w:tbl>
    <w:p>
      <w:pPr>
        <w:keepNext/>
        <w:widowControl/>
        <w:numPr>
          <w:ilvl w:val="0"/>
          <w:numId w:val="0"/>
        </w:numPr>
        <w:shd w:val="clear" w:color="auto" w:fill="FFFFFF"/>
        <w:autoSpaceDE w:val="0"/>
        <w:spacing w:before="120" w:after="120"/>
        <w:ind w:leftChars="0"/>
        <w:jc w:val="both"/>
        <w:rPr>
          <w:rFonts w:hint="eastAsia" w:ascii="仿宋_GB2312" w:hAnsi="仿宋_GB2312" w:eastAsia="仿宋_GB2312" w:cs="仿宋_GB2312"/>
          <w:b/>
          <w:color w:val="auto"/>
          <w:kern w:val="0"/>
          <w:sz w:val="32"/>
          <w:szCs w:val="32"/>
          <w:highlight w:val="none"/>
          <w:shd w:val="clear" w:color="auto" w:fill="FFFFFF"/>
        </w:rPr>
      </w:pPr>
      <w:r>
        <w:rPr>
          <w:rFonts w:hint="eastAsia" w:ascii="仿宋_GB2312" w:hAnsi="仿宋_GB2312" w:eastAsia="仿宋_GB2312" w:cs="仿宋_GB2312"/>
          <w:b/>
          <w:color w:val="auto"/>
          <w:kern w:val="0"/>
          <w:sz w:val="32"/>
          <w:szCs w:val="32"/>
          <w:highlight w:val="none"/>
          <w:shd w:val="clear" w:color="auto" w:fill="FFFFFF"/>
          <w:lang w:val="en-US" w:eastAsia="zh-CN"/>
        </w:rPr>
        <w:t>二、</w:t>
      </w:r>
      <w:r>
        <w:rPr>
          <w:rFonts w:hint="eastAsia" w:ascii="仿宋_GB2312" w:hAnsi="仿宋_GB2312" w:eastAsia="仿宋_GB2312" w:cs="仿宋_GB2312"/>
          <w:b/>
          <w:color w:val="auto"/>
          <w:kern w:val="0"/>
          <w:sz w:val="32"/>
          <w:szCs w:val="32"/>
          <w:highlight w:val="none"/>
          <w:shd w:val="clear" w:color="auto" w:fill="FFFFFF"/>
        </w:rPr>
        <w:t>技术功能及服务要求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textAlignment w:val="auto"/>
        <w:outlineLvl w:val="9"/>
        <w:rPr>
          <w:rStyle w:val="10"/>
          <w:rFonts w:hint="eastAsia" w:ascii="宋体" w:hAnsi="宋体" w:eastAsia="宋体" w:cs="宋体"/>
          <w:b/>
          <w:bCs/>
          <w:i w:val="0"/>
          <w:iCs w:val="0"/>
          <w:caps w:val="0"/>
          <w:color w:val="auto"/>
          <w:spacing w:val="0"/>
          <w:sz w:val="24"/>
          <w:szCs w:val="24"/>
          <w:highlight w:val="none"/>
          <w:lang w:eastAsia="zh-CN"/>
        </w:rPr>
      </w:pP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w:t>
      </w:r>
      <w:r>
        <w:rPr>
          <w:rStyle w:val="10"/>
          <w:rFonts w:hint="eastAsia" w:ascii="宋体" w:hAnsi="宋体" w:eastAsia="宋体" w:cs="宋体"/>
          <w:b/>
          <w:bCs/>
          <w:i w:val="0"/>
          <w:iCs w:val="0"/>
          <w:caps w:val="0"/>
          <w:color w:val="auto"/>
          <w:spacing w:val="0"/>
          <w:sz w:val="24"/>
          <w:szCs w:val="24"/>
          <w:highlight w:val="none"/>
        </w:rPr>
        <w:t>设备保修续保</w:t>
      </w:r>
      <w:r>
        <w:rPr>
          <w:rStyle w:val="10"/>
          <w:rFonts w:hint="eastAsia" w:ascii="宋体" w:hAnsi="宋体" w:cs="宋体"/>
          <w:b/>
          <w:bCs/>
          <w:i w:val="0"/>
          <w:iCs w:val="0"/>
          <w:caps w:val="0"/>
          <w:color w:val="auto"/>
          <w:spacing w:val="0"/>
          <w:sz w:val="24"/>
          <w:szCs w:val="24"/>
          <w:highlight w:val="none"/>
          <w:lang w:eastAsia="zh-CN"/>
        </w:rPr>
        <w:t>服务要求</w:t>
      </w:r>
    </w:p>
    <w:p>
      <w:pPr>
        <w:spacing w:line="360" w:lineRule="auto"/>
        <w:ind w:firstLine="241" w:firstLineChars="100"/>
        <w:rPr>
          <w:rFonts w:ascii="宋体" w:hAnsi="宋体" w:eastAsia="宋体" w:cs="宋体"/>
          <w:b/>
          <w:bCs/>
          <w:color w:val="auto"/>
          <w:sz w:val="24"/>
          <w:highlight w:val="none"/>
          <w:shd w:val="clear" w:fill="FFFFFF"/>
        </w:rPr>
      </w:pPr>
      <w:r>
        <w:rPr>
          <w:rFonts w:hint="eastAsia" w:ascii="宋体" w:hAnsi="宋体" w:eastAsia="宋体" w:cs="宋体"/>
          <w:b/>
          <w:bCs/>
          <w:color w:val="auto"/>
          <w:sz w:val="24"/>
          <w:highlight w:val="none"/>
          <w:shd w:val="clear" w:fill="FFFFFF"/>
          <w:lang w:val="en-US" w:eastAsia="zh-CN"/>
        </w:rPr>
        <w:t>1、</w:t>
      </w:r>
      <w:r>
        <w:rPr>
          <w:rFonts w:ascii="宋体" w:hAnsi="宋体" w:eastAsia="宋体" w:cs="宋体"/>
          <w:b/>
          <w:bCs/>
          <w:color w:val="auto"/>
          <w:sz w:val="24"/>
          <w:highlight w:val="none"/>
          <w:shd w:val="clear" w:fill="FFFFFF"/>
        </w:rPr>
        <w:t>设备保修续保服务范围及年限（设备保修已到期的，按照合同签订之日起计算，设备保修未到期的，按照到期之日起计算。）</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918"/>
        <w:gridCol w:w="1173"/>
        <w:gridCol w:w="2006"/>
        <w:gridCol w:w="1470"/>
        <w:gridCol w:w="1457"/>
        <w:gridCol w:w="6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33" w:type="pct"/>
            <w:vAlign w:val="center"/>
          </w:tcPr>
          <w:p>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设备类型</w:t>
            </w:r>
            <w:r>
              <w:rPr>
                <w:rFonts w:hint="eastAsia" w:ascii="宋体" w:hAnsi="宋体" w:eastAsia="宋体" w:cs="宋体"/>
                <w:color w:val="auto"/>
                <w:kern w:val="0"/>
                <w:sz w:val="21"/>
                <w:szCs w:val="21"/>
                <w:highlight w:val="none"/>
                <w:lang w:eastAsia="zh-CN"/>
              </w:rPr>
              <w:t>及型号</w:t>
            </w:r>
          </w:p>
        </w:tc>
        <w:tc>
          <w:tcPr>
            <w:tcW w:w="632" w:type="pct"/>
            <w:tcBorders>
              <w:right w:val="single" w:color="auto" w:sz="4" w:space="0"/>
            </w:tcBorders>
            <w:vAlign w:val="center"/>
          </w:tcPr>
          <w:p>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位置</w:t>
            </w:r>
          </w:p>
        </w:tc>
        <w:tc>
          <w:tcPr>
            <w:tcW w:w="1081" w:type="pct"/>
            <w:tcBorders>
              <w:right w:val="single" w:color="auto" w:sz="4" w:space="0"/>
            </w:tcBorders>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序列号</w:t>
            </w:r>
          </w:p>
        </w:tc>
        <w:tc>
          <w:tcPr>
            <w:tcW w:w="792" w:type="pct"/>
            <w:tcBorders>
              <w:left w:val="single" w:color="auto" w:sz="4" w:space="0"/>
            </w:tcBorders>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购买时间</w:t>
            </w:r>
          </w:p>
        </w:tc>
        <w:tc>
          <w:tcPr>
            <w:tcW w:w="785" w:type="pct"/>
            <w:tcBorders>
              <w:left w:val="single" w:color="auto" w:sz="4" w:space="0"/>
            </w:tcBorders>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过保日期</w:t>
            </w:r>
          </w:p>
        </w:tc>
        <w:tc>
          <w:tcPr>
            <w:tcW w:w="342" w:type="pct"/>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续保年限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033" w:type="pct"/>
            <w:shd w:val="clear" w:color="000000"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服务器</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 xml:space="preserve">HPE </w:t>
            </w:r>
            <w:r>
              <w:rPr>
                <w:rFonts w:hint="eastAsia" w:ascii="宋体" w:hAnsi="宋体" w:eastAsia="宋体" w:cs="宋体"/>
                <w:i w:val="0"/>
                <w:iCs w:val="0"/>
                <w:color w:val="auto"/>
                <w:kern w:val="2"/>
                <w:sz w:val="21"/>
                <w:szCs w:val="21"/>
                <w:highlight w:val="none"/>
                <w:u w:val="none"/>
                <w:lang w:val="en-US" w:eastAsia="zh-CN" w:bidi="ar-SA"/>
              </w:rPr>
              <w:t>DL380Gen10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CN70350MBN</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cs="宋体"/>
                <w:i w:val="0"/>
                <w:iCs w:val="0"/>
                <w:color w:val="auto"/>
                <w:kern w:val="2"/>
                <w:sz w:val="21"/>
                <w:szCs w:val="21"/>
                <w:highlight w:val="none"/>
                <w:u w:val="none"/>
                <w:lang w:val="en-US" w:eastAsia="zh-CN" w:bidi="ar-SA"/>
              </w:rPr>
              <w:t xml:space="preserve">HPE </w:t>
            </w:r>
            <w:r>
              <w:rPr>
                <w:rFonts w:hint="eastAsia" w:ascii="宋体" w:hAnsi="宋体" w:eastAsia="宋体" w:cs="宋体"/>
                <w:color w:val="auto"/>
                <w:kern w:val="0"/>
                <w:sz w:val="21"/>
                <w:szCs w:val="21"/>
                <w:highlight w:val="none"/>
              </w:rPr>
              <w:t>DL380Gen10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CN70350MBL</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cs="宋体"/>
                <w:i w:val="0"/>
                <w:iCs w:val="0"/>
                <w:color w:val="auto"/>
                <w:kern w:val="2"/>
                <w:sz w:val="21"/>
                <w:szCs w:val="21"/>
                <w:highlight w:val="none"/>
                <w:u w:val="none"/>
                <w:lang w:val="en-US" w:eastAsia="zh-CN" w:bidi="ar-SA"/>
              </w:rPr>
              <w:t xml:space="preserve">HPE </w:t>
            </w:r>
            <w:r>
              <w:rPr>
                <w:rFonts w:hint="eastAsia" w:ascii="宋体" w:hAnsi="宋体" w:eastAsia="宋体" w:cs="宋体"/>
                <w:color w:val="auto"/>
                <w:kern w:val="0"/>
                <w:sz w:val="21"/>
                <w:szCs w:val="21"/>
                <w:highlight w:val="none"/>
              </w:rPr>
              <w:t>DL380Gen10</w:t>
            </w:r>
          </w:p>
        </w:tc>
        <w:tc>
          <w:tcPr>
            <w:tcW w:w="632" w:type="pct"/>
            <w:tcBorders>
              <w:right w:val="single" w:color="auto" w:sz="4" w:space="0"/>
            </w:tcBorders>
            <w:shd w:val="clear" w:color="000000" w:fill="FFFFFF"/>
            <w:vAlign w:val="bottom"/>
          </w:tcPr>
          <w:p>
            <w:pPr>
              <w:keepNext w:val="0"/>
              <w:keepLines w:val="0"/>
              <w:widowControl/>
              <w:suppressLineNumbers w:val="0"/>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bottom"/>
          </w:tcPr>
          <w:p>
            <w:pPr>
              <w:keepNext w:val="0"/>
              <w:keepLines w:val="0"/>
              <w:widowControl/>
              <w:suppressLineNumbers w:val="0"/>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CN70350MBM</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033" w:type="pct"/>
            <w:shd w:val="clear" w:color="000000" w:fill="FFFFFF"/>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cs="宋体"/>
                <w:i w:val="0"/>
                <w:iCs w:val="0"/>
                <w:color w:val="auto"/>
                <w:kern w:val="2"/>
                <w:sz w:val="21"/>
                <w:szCs w:val="21"/>
                <w:highlight w:val="none"/>
                <w:u w:val="none"/>
                <w:lang w:val="en-US" w:eastAsia="zh-CN" w:bidi="ar-SA"/>
              </w:rPr>
              <w:t xml:space="preserve">HPE </w:t>
            </w:r>
            <w:r>
              <w:rPr>
                <w:rFonts w:hint="eastAsia" w:ascii="宋体" w:hAnsi="宋体" w:eastAsia="宋体" w:cs="宋体"/>
                <w:color w:val="auto"/>
                <w:kern w:val="0"/>
                <w:sz w:val="21"/>
                <w:szCs w:val="21"/>
                <w:highlight w:val="none"/>
              </w:rPr>
              <w:t>DL380Gen10</w:t>
            </w:r>
          </w:p>
        </w:tc>
        <w:tc>
          <w:tcPr>
            <w:tcW w:w="632" w:type="pct"/>
            <w:tcBorders>
              <w:right w:val="single" w:color="auto" w:sz="4" w:space="0"/>
            </w:tcBorders>
            <w:shd w:val="clear" w:color="000000" w:fill="FFFFFF"/>
            <w:vAlign w:val="bottom"/>
          </w:tcPr>
          <w:p>
            <w:pPr>
              <w:keepNext w:val="0"/>
              <w:keepLines w:val="0"/>
              <w:widowControl/>
              <w:suppressLineNumbers w:val="0"/>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bottom"/>
          </w:tcPr>
          <w:p>
            <w:pPr>
              <w:keepNext w:val="0"/>
              <w:keepLines w:val="0"/>
              <w:widowControl/>
              <w:suppressLineNumbers w:val="0"/>
              <w:spacing w:line="24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CN70350MBK</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p>
            <w:pPr>
              <w:widowControl/>
              <w:spacing w:line="24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 xml:space="preserve">HPE </w:t>
            </w:r>
            <w:r>
              <w:rPr>
                <w:rFonts w:hint="eastAsia" w:ascii="宋体" w:hAnsi="宋体" w:eastAsia="宋体" w:cs="宋体"/>
                <w:color w:val="auto"/>
                <w:kern w:val="0"/>
                <w:sz w:val="21"/>
                <w:szCs w:val="21"/>
                <w:highlight w:val="none"/>
              </w:rPr>
              <w:t>DL560 Gen10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CN7938030S</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w:t>
            </w:r>
          </w:p>
          <w:p>
            <w:pPr>
              <w:widowControl/>
              <w:spacing w:line="24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 xml:space="preserve">HPE </w:t>
            </w:r>
            <w:r>
              <w:rPr>
                <w:rFonts w:hint="eastAsia" w:ascii="宋体" w:hAnsi="宋体" w:eastAsia="宋体" w:cs="宋体"/>
                <w:color w:val="auto"/>
                <w:kern w:val="0"/>
                <w:sz w:val="21"/>
                <w:szCs w:val="21"/>
                <w:highlight w:val="none"/>
              </w:rPr>
              <w:t>DL560 Gen10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CN7938030R</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201</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033" w:type="pct"/>
            <w:shd w:val="clear" w:color="auto" w:fill="auto"/>
            <w:vAlign w:val="center"/>
          </w:tcPr>
          <w:p>
            <w:pPr>
              <w:widowControl/>
              <w:spacing w:line="240" w:lineRule="auto"/>
              <w:jc w:val="both"/>
              <w:rPr>
                <w:color w:val="auto"/>
                <w:highlight w:val="none"/>
              </w:rPr>
            </w:pPr>
            <w:r>
              <w:rPr>
                <w:rFonts w:hint="eastAsia" w:ascii="宋体" w:hAnsi="宋体" w:eastAsia="宋体" w:cs="宋体"/>
                <w:color w:val="auto"/>
                <w:kern w:val="0"/>
                <w:sz w:val="21"/>
                <w:szCs w:val="21"/>
                <w:highlight w:val="none"/>
              </w:rPr>
              <w:t>存储</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Fujitsu</w:t>
            </w:r>
            <w:r>
              <w:rPr>
                <w:rFonts w:hint="eastAsia" w:ascii="宋体" w:hAnsi="宋体" w:cs="宋体"/>
                <w:i w:val="0"/>
                <w:iCs w:val="0"/>
                <w:color w:val="auto"/>
                <w:kern w:val="2"/>
                <w:sz w:val="21"/>
                <w:szCs w:val="21"/>
                <w:highlight w:val="none"/>
                <w:u w:val="none"/>
                <w:lang w:val="en-US" w:eastAsia="zh-CN" w:bidi="ar-SA"/>
              </w:rPr>
              <w:t xml:space="preserve"> </w:t>
            </w:r>
            <w:r>
              <w:rPr>
                <w:rFonts w:hint="eastAsia" w:ascii="宋体" w:hAnsi="宋体" w:eastAsia="宋体" w:cs="宋体"/>
                <w:color w:val="auto"/>
                <w:kern w:val="0"/>
                <w:sz w:val="21"/>
                <w:szCs w:val="21"/>
                <w:highlight w:val="none"/>
              </w:rPr>
              <w:t>DX200 S5-1</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4602006094</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存储扩展柜</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Fujitsu</w:t>
            </w:r>
            <w:r>
              <w:rPr>
                <w:rFonts w:hint="eastAsia" w:ascii="宋体" w:hAnsi="宋体" w:cs="宋体"/>
                <w:i w:val="0"/>
                <w:iCs w:val="0"/>
                <w:color w:val="auto"/>
                <w:kern w:val="2"/>
                <w:sz w:val="21"/>
                <w:szCs w:val="21"/>
                <w:highlight w:val="none"/>
                <w:u w:val="none"/>
                <w:lang w:val="en-US" w:eastAsia="zh-CN" w:bidi="ar-SA"/>
              </w:rPr>
              <w:t xml:space="preserve"> </w:t>
            </w:r>
            <w:r>
              <w:rPr>
                <w:rFonts w:hint="eastAsia" w:ascii="宋体" w:hAnsi="宋体" w:eastAsia="宋体" w:cs="宋体"/>
                <w:color w:val="auto"/>
                <w:kern w:val="0"/>
                <w:sz w:val="21"/>
                <w:szCs w:val="21"/>
                <w:highlight w:val="none"/>
              </w:rPr>
              <w:t>DX200 S5-1</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JWXTP19380073</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w:t>
            </w:r>
          </w:p>
          <w:p>
            <w:pPr>
              <w:widowControl/>
              <w:spacing w:line="24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Fujitsu</w:t>
            </w:r>
            <w:r>
              <w:rPr>
                <w:rFonts w:hint="eastAsia" w:ascii="宋体" w:hAnsi="宋体" w:cs="宋体"/>
                <w:i w:val="0"/>
                <w:iCs w:val="0"/>
                <w:color w:val="auto"/>
                <w:kern w:val="2"/>
                <w:sz w:val="21"/>
                <w:szCs w:val="21"/>
                <w:highlight w:val="none"/>
                <w:u w:val="none"/>
                <w:lang w:val="en-US" w:eastAsia="zh-CN" w:bidi="ar-SA"/>
              </w:rPr>
              <w:t xml:space="preserve"> </w:t>
            </w:r>
            <w:r>
              <w:rPr>
                <w:rFonts w:hint="eastAsia" w:ascii="宋体" w:hAnsi="宋体" w:eastAsia="宋体" w:cs="宋体"/>
                <w:color w:val="auto"/>
                <w:kern w:val="0"/>
                <w:sz w:val="21"/>
                <w:szCs w:val="21"/>
                <w:highlight w:val="none"/>
              </w:rPr>
              <w:t>DX200 S5-</w:t>
            </w:r>
            <w:r>
              <w:rPr>
                <w:rFonts w:hint="eastAsia" w:ascii="宋体" w:hAnsi="宋体" w:eastAsia="宋体" w:cs="宋体"/>
                <w:color w:val="auto"/>
                <w:kern w:val="0"/>
                <w:sz w:val="21"/>
                <w:szCs w:val="21"/>
                <w:highlight w:val="none"/>
                <w:lang w:val="en-US" w:eastAsia="zh-CN"/>
              </w:rPr>
              <w:t>2</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4602006114</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存储扩展柜</w:t>
            </w:r>
          </w:p>
          <w:p>
            <w:pPr>
              <w:widowControl/>
              <w:spacing w:line="24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Fujitsu</w:t>
            </w:r>
            <w:r>
              <w:rPr>
                <w:rFonts w:hint="eastAsia" w:ascii="宋体" w:hAnsi="宋体" w:cs="宋体"/>
                <w:i w:val="0"/>
                <w:iCs w:val="0"/>
                <w:color w:val="auto"/>
                <w:kern w:val="2"/>
                <w:sz w:val="21"/>
                <w:szCs w:val="21"/>
                <w:highlight w:val="none"/>
                <w:u w:val="none"/>
                <w:lang w:val="en-US" w:eastAsia="zh-CN" w:bidi="ar-SA"/>
              </w:rPr>
              <w:t xml:space="preserve"> </w:t>
            </w:r>
            <w:r>
              <w:rPr>
                <w:rFonts w:hint="eastAsia" w:ascii="宋体" w:hAnsi="宋体" w:eastAsia="宋体" w:cs="宋体"/>
                <w:color w:val="auto"/>
                <w:kern w:val="0"/>
                <w:sz w:val="21"/>
                <w:szCs w:val="21"/>
                <w:highlight w:val="none"/>
              </w:rPr>
              <w:t>DX200 S5-</w:t>
            </w:r>
            <w:r>
              <w:rPr>
                <w:rFonts w:hint="eastAsia" w:ascii="宋体" w:hAnsi="宋体" w:eastAsia="宋体" w:cs="宋体"/>
                <w:color w:val="auto"/>
                <w:kern w:val="0"/>
                <w:sz w:val="21"/>
                <w:szCs w:val="21"/>
                <w:highlight w:val="none"/>
                <w:lang w:val="en-US" w:eastAsia="zh-CN"/>
              </w:rPr>
              <w:t>2</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JWXTP19420193</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磁盘阵列</w:t>
            </w:r>
          </w:p>
          <w:p>
            <w:pPr>
              <w:widowControl/>
              <w:spacing w:line="24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HPE 3PAR 8450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CN79370GCL</w:t>
            </w:r>
          </w:p>
        </w:tc>
        <w:tc>
          <w:tcPr>
            <w:tcW w:w="792"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2019/10/12</w:t>
            </w:r>
          </w:p>
        </w:tc>
        <w:tc>
          <w:tcPr>
            <w:tcW w:w="785"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磁盘阵列</w:t>
            </w:r>
          </w:p>
          <w:p>
            <w:pPr>
              <w:widowControl/>
              <w:spacing w:line="24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HPE 3PAR 8450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CN79370GCM</w:t>
            </w:r>
          </w:p>
        </w:tc>
        <w:tc>
          <w:tcPr>
            <w:tcW w:w="792"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2019/10/12</w:t>
            </w:r>
          </w:p>
        </w:tc>
        <w:tc>
          <w:tcPr>
            <w:tcW w:w="785"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光纤存储交换机</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Brocade</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G610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EZL1928Q04K</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光纤存储交换机</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Brocade</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G610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EZL1934Q04L</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033" w:type="pct"/>
            <w:shd w:val="clear" w:color="auto" w:fill="auto"/>
            <w:vAlign w:val="center"/>
          </w:tcPr>
          <w:p>
            <w:pPr>
              <w:widowControl/>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光纤存储交换机</w:t>
            </w:r>
          </w:p>
          <w:p>
            <w:pPr>
              <w:widowControl/>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Jestor</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G610</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EZL1933Q031</w:t>
            </w:r>
          </w:p>
        </w:tc>
        <w:tc>
          <w:tcPr>
            <w:tcW w:w="792"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2020/11/25</w:t>
            </w:r>
          </w:p>
        </w:tc>
        <w:tc>
          <w:tcPr>
            <w:tcW w:w="785" w:type="pct"/>
            <w:tcBorders>
              <w:lef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2025/11/25</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光纤存储交换机</w:t>
            </w:r>
          </w:p>
          <w:p>
            <w:pPr>
              <w:widowControl/>
              <w:spacing w:line="24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HPE SN3000B</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科研楼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CZC9222G94</w:t>
            </w:r>
          </w:p>
        </w:tc>
        <w:tc>
          <w:tcPr>
            <w:tcW w:w="792"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2019/10/12</w:t>
            </w:r>
          </w:p>
        </w:tc>
        <w:tc>
          <w:tcPr>
            <w:tcW w:w="785"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tcBorders>
              <w:bottom w:val="single" w:color="auto" w:sz="4" w:space="0"/>
            </w:tcBorders>
            <w:shd w:val="clear" w:color="auto" w:fill="auto"/>
            <w:vAlign w:val="center"/>
          </w:tcPr>
          <w:p>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1033" w:type="pct"/>
            <w:shd w:val="clear" w:color="auto" w:fill="auto"/>
            <w:vAlign w:val="center"/>
          </w:tcPr>
          <w:p>
            <w:pPr>
              <w:widowControl/>
              <w:spacing w:line="24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光纤存储交换机</w:t>
            </w:r>
          </w:p>
          <w:p>
            <w:pPr>
              <w:widowControl/>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HPE SN3000B</w:t>
            </w:r>
          </w:p>
        </w:tc>
        <w:tc>
          <w:tcPr>
            <w:tcW w:w="632"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内科楼</w:t>
            </w:r>
          </w:p>
        </w:tc>
        <w:tc>
          <w:tcPr>
            <w:tcW w:w="1081" w:type="pct"/>
            <w:tcBorders>
              <w:righ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CZC9232HJ9</w:t>
            </w:r>
          </w:p>
        </w:tc>
        <w:tc>
          <w:tcPr>
            <w:tcW w:w="792"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2019/10/12</w:t>
            </w:r>
          </w:p>
        </w:tc>
        <w:tc>
          <w:tcPr>
            <w:tcW w:w="785" w:type="pct"/>
            <w:tcBorders>
              <w:left w:val="single" w:color="auto" w:sz="4" w:space="0"/>
            </w:tcBorders>
            <w:shd w:val="clear" w:color="000000" w:fill="FFFFFF"/>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1年</w:t>
            </w:r>
          </w:p>
        </w:tc>
      </w:tr>
    </w:tbl>
    <w:p>
      <w:pPr>
        <w:numPr>
          <w:ilvl w:val="0"/>
          <w:numId w:val="0"/>
        </w:numPr>
        <w:rPr>
          <w:rFonts w:hint="eastAsia" w:ascii="宋体" w:hAnsi="宋体" w:eastAsia="宋体" w:cs="宋体"/>
          <w:b/>
          <w:bCs/>
          <w:color w:val="auto"/>
          <w:sz w:val="24"/>
          <w:szCs w:val="24"/>
          <w:highlight w:val="none"/>
        </w:rPr>
      </w:pP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2、保修服务内容要求</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（1）采用24小时联络机制，指定一名</w:t>
      </w:r>
      <w:r>
        <w:rPr>
          <w:rFonts w:hint="eastAsia" w:ascii="宋体" w:hAnsi="宋体" w:cs="宋体"/>
          <w:color w:val="auto"/>
          <w:sz w:val="24"/>
          <w:highlight w:val="none"/>
          <w:shd w:val="clear" w:fill="FFFFFF"/>
          <w:lang w:val="en-US" w:eastAsia="zh-CN"/>
        </w:rPr>
        <w:t>专业</w:t>
      </w:r>
      <w:r>
        <w:rPr>
          <w:rFonts w:hint="eastAsia" w:ascii="宋体" w:hAnsi="宋体" w:eastAsia="宋体" w:cs="宋体"/>
          <w:color w:val="auto"/>
          <w:sz w:val="24"/>
          <w:highlight w:val="none"/>
          <w:shd w:val="clear" w:fill="FFFFFF"/>
          <w:lang w:val="en-US" w:eastAsia="zh-CN"/>
        </w:rPr>
        <w:t>的</w:t>
      </w:r>
      <w:r>
        <w:rPr>
          <w:rFonts w:hint="eastAsia" w:ascii="宋体" w:hAnsi="宋体" w:cs="宋体"/>
          <w:color w:val="auto"/>
          <w:sz w:val="24"/>
          <w:highlight w:val="none"/>
          <w:shd w:val="clear" w:fill="FFFFFF"/>
          <w:lang w:val="en-US" w:eastAsia="zh-CN"/>
        </w:rPr>
        <w:t>项目经理</w:t>
      </w:r>
      <w:r>
        <w:rPr>
          <w:rFonts w:hint="eastAsia" w:ascii="宋体" w:hAnsi="宋体" w:eastAsia="宋体" w:cs="宋体"/>
          <w:color w:val="auto"/>
          <w:sz w:val="24"/>
          <w:highlight w:val="none"/>
          <w:shd w:val="clear" w:fill="FFFFFF"/>
          <w:lang w:val="en-US" w:eastAsia="zh-CN"/>
        </w:rPr>
        <w:t>与采购人保持沟通，确保7*24小时都可联系到工程技术人员，所有节日都照此标准执行。</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（2）快速进行故障抢修：故障服务响应时间不超过30分钟，2小时内携带相关工具、仪器到达故障现场现行故障排查处理，直到设备恢复正常运行。</w:t>
      </w:r>
    </w:p>
    <w:p>
      <w:pPr>
        <w:spacing w:line="360" w:lineRule="auto"/>
        <w:ind w:firstLine="480" w:firstLineChars="200"/>
        <w:rPr>
          <w:color w:val="auto"/>
          <w:highlight w:val="none"/>
        </w:rPr>
      </w:pPr>
      <w:r>
        <w:rPr>
          <w:rFonts w:hint="eastAsia" w:ascii="宋体" w:hAnsi="宋体" w:eastAsia="宋体" w:cs="宋体"/>
          <w:color w:val="auto"/>
          <w:sz w:val="24"/>
          <w:highlight w:val="none"/>
          <w:shd w:val="clear" w:fill="FFFFFF"/>
          <w:lang w:val="en-US" w:eastAsia="zh-CN"/>
        </w:rPr>
        <w:t>（3）在维修维护过程中严格执行技术规范，保证设备的性能符合相关技术标准要求。在维修维护间，对设施设备可能存在的故障隐患做出评估，并进行恰当的预防性处理，以保证设施设备的安全运行。若故障隐患超出维修维护范围的，及时书面通知采购人，并提出消除隐患建议。</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w:t>
      </w:r>
      <w:r>
        <w:rPr>
          <w:rFonts w:hint="eastAsia" w:ascii="宋体" w:hAnsi="宋体" w:cs="宋体"/>
          <w:color w:val="auto"/>
          <w:sz w:val="24"/>
          <w:highlight w:val="none"/>
          <w:shd w:val="clear" w:fill="FFFFFF"/>
          <w:lang w:val="en-US" w:eastAsia="zh-CN"/>
        </w:rPr>
        <w:t>4</w:t>
      </w:r>
      <w:r>
        <w:rPr>
          <w:rFonts w:hint="eastAsia" w:ascii="宋体" w:hAnsi="宋体" w:eastAsia="宋体" w:cs="宋体"/>
          <w:color w:val="auto"/>
          <w:sz w:val="24"/>
          <w:highlight w:val="none"/>
          <w:shd w:val="clear" w:fill="FFFFFF"/>
          <w:lang w:val="en-US" w:eastAsia="zh-CN"/>
        </w:rPr>
        <w:t>）提供设备维护档案资料：将主备机房内设备系统信息等汇总登记，由维护人员和采购人进行共同管理，便于应急查询。</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w:t>
      </w:r>
      <w:r>
        <w:rPr>
          <w:rFonts w:hint="eastAsia" w:ascii="宋体" w:hAnsi="宋体" w:cs="宋体"/>
          <w:color w:val="auto"/>
          <w:sz w:val="24"/>
          <w:highlight w:val="none"/>
          <w:shd w:val="clear" w:fill="FFFFFF"/>
          <w:lang w:val="en-US" w:eastAsia="zh-CN"/>
        </w:rPr>
        <w:t>5</w:t>
      </w:r>
      <w:r>
        <w:rPr>
          <w:rFonts w:hint="eastAsia" w:ascii="宋体" w:hAnsi="宋体" w:eastAsia="宋体" w:cs="宋体"/>
          <w:color w:val="auto"/>
          <w:sz w:val="24"/>
          <w:highlight w:val="none"/>
          <w:shd w:val="clear" w:fill="FFFFFF"/>
          <w:lang w:val="en-US" w:eastAsia="zh-CN"/>
        </w:rPr>
        <w:t>）提供巡检服务：对维保设备提供</w:t>
      </w:r>
      <w:r>
        <w:rPr>
          <w:rFonts w:hint="eastAsia" w:ascii="宋体" w:hAnsi="宋体" w:cs="宋体"/>
          <w:color w:val="auto"/>
          <w:sz w:val="24"/>
          <w:highlight w:val="none"/>
          <w:shd w:val="clear" w:fill="FFFFFF"/>
          <w:lang w:val="en-US" w:eastAsia="zh-CN"/>
        </w:rPr>
        <w:t>第季度</w:t>
      </w:r>
      <w:r>
        <w:rPr>
          <w:rFonts w:hint="eastAsia" w:ascii="宋体" w:hAnsi="宋体" w:eastAsia="宋体" w:cs="宋体"/>
          <w:color w:val="auto"/>
          <w:sz w:val="24"/>
          <w:highlight w:val="none"/>
          <w:shd w:val="clear" w:fill="FFFFFF"/>
          <w:lang w:val="en-US" w:eastAsia="zh-CN"/>
        </w:rPr>
        <w:t>一次巡检服务，巡检内容包括对维保设备整体运行状态、部件运行数值分析、设备日志分析、利用率偏高提示、网络或光纤通讯质量检测等内容；每次巡检后，由维修维护方提供巡检报告，并由使用方签字确认。</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w:t>
      </w:r>
      <w:r>
        <w:rPr>
          <w:rFonts w:hint="eastAsia" w:ascii="宋体" w:hAnsi="宋体" w:cs="宋体"/>
          <w:color w:val="auto"/>
          <w:sz w:val="24"/>
          <w:highlight w:val="none"/>
          <w:shd w:val="clear" w:fill="FFFFFF"/>
          <w:lang w:val="en-US" w:eastAsia="zh-CN"/>
        </w:rPr>
        <w:t>6</w:t>
      </w:r>
      <w:r>
        <w:rPr>
          <w:rFonts w:hint="eastAsia" w:ascii="宋体" w:hAnsi="宋体" w:eastAsia="宋体" w:cs="宋体"/>
          <w:color w:val="auto"/>
          <w:sz w:val="24"/>
          <w:highlight w:val="none"/>
          <w:shd w:val="clear" w:fill="FFFFFF"/>
          <w:lang w:val="en-US" w:eastAsia="zh-CN"/>
        </w:rPr>
        <w:t>）提供系统应急方案：设备在12小时内还无法修复的应有备用应急处理方案。</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w:t>
      </w:r>
      <w:r>
        <w:rPr>
          <w:rFonts w:hint="eastAsia" w:ascii="宋体" w:hAnsi="宋体" w:cs="宋体"/>
          <w:color w:val="auto"/>
          <w:sz w:val="24"/>
          <w:highlight w:val="none"/>
          <w:shd w:val="clear" w:fill="FFFFFF"/>
          <w:lang w:val="en-US" w:eastAsia="zh-CN"/>
        </w:rPr>
        <w:t>7</w:t>
      </w:r>
      <w:r>
        <w:rPr>
          <w:rFonts w:hint="eastAsia" w:ascii="宋体" w:hAnsi="宋体" w:eastAsia="宋体" w:cs="宋体"/>
          <w:color w:val="auto"/>
          <w:sz w:val="24"/>
          <w:highlight w:val="none"/>
          <w:shd w:val="clear" w:fill="FFFFFF"/>
          <w:lang w:val="en-US" w:eastAsia="zh-CN"/>
        </w:rPr>
        <w:t>）数据分析：对每次巡检、维修等数据进行整理，对设备运行的数据变化量进行预估，给采购人提供一份报告，对后期平台建设、数据安全保障提供参考依据。</w:t>
      </w: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3、设备故障应急修复服务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w:t>
      </w:r>
      <w:r>
        <w:rPr>
          <w:rFonts w:hint="eastAsia" w:ascii="宋体" w:hAnsi="宋体" w:cs="宋体"/>
          <w:color w:val="auto"/>
          <w:sz w:val="24"/>
          <w:highlight w:val="none"/>
          <w:shd w:val="clear" w:fill="FFFFFF"/>
          <w:lang w:val="en-US" w:eastAsia="zh-CN"/>
        </w:rPr>
        <w:t>1</w:t>
      </w:r>
      <w:r>
        <w:rPr>
          <w:rFonts w:hint="eastAsia" w:ascii="宋体" w:hAnsi="宋体" w:eastAsia="宋体" w:cs="宋体"/>
          <w:color w:val="auto"/>
          <w:sz w:val="24"/>
          <w:highlight w:val="none"/>
          <w:shd w:val="clear" w:fill="FFFFFF"/>
          <w:lang w:val="en-US" w:eastAsia="zh-CN"/>
        </w:rPr>
        <w:t>）服务时间及响应时间</w:t>
      </w:r>
    </w:p>
    <w:p>
      <w:pPr>
        <w:numPr>
          <w:ilvl w:val="0"/>
          <w:numId w:val="1"/>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提供7*24小时的电话支持服务，自合同生效之日起计算。接到报障电话后在不超过30分钟给予电话响应，并指导用户采取实质性应急措施，需要现场服务的立即派工程师赶赴现场解决问题。</w:t>
      </w:r>
    </w:p>
    <w:p>
      <w:pPr>
        <w:numPr>
          <w:ilvl w:val="0"/>
          <w:numId w:val="1"/>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对于影响生产的重大故障，在接到故障服务请求后，及时电话指导用户工程师采取应急措施，避免造成重大事故，同时携带必要的备件搭乘最快的交通工具抵达用户现场。</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w:t>
      </w:r>
      <w:r>
        <w:rPr>
          <w:rFonts w:hint="eastAsia" w:ascii="宋体" w:hAnsi="宋体" w:cs="宋体"/>
          <w:color w:val="auto"/>
          <w:sz w:val="24"/>
          <w:highlight w:val="none"/>
          <w:shd w:val="clear" w:fill="FFFFFF"/>
          <w:lang w:val="en-US" w:eastAsia="zh-CN"/>
        </w:rPr>
        <w:t>2</w:t>
      </w:r>
      <w:r>
        <w:rPr>
          <w:rFonts w:hint="eastAsia" w:ascii="宋体" w:hAnsi="宋体" w:eastAsia="宋体" w:cs="宋体"/>
          <w:color w:val="auto"/>
          <w:sz w:val="24"/>
          <w:highlight w:val="none"/>
          <w:shd w:val="clear" w:fill="FFFFFF"/>
          <w:lang w:val="en-US" w:eastAsia="zh-CN"/>
        </w:rPr>
        <w:t>）系统设备故障响应：系统设备出现故障时，及时做出响应并尽快开展维修及修复工作。</w:t>
      </w:r>
    </w:p>
    <w:p>
      <w:pPr>
        <w:numPr>
          <w:ilvl w:val="0"/>
          <w:numId w:val="2"/>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通过电话请用户系统管理员协助用命令进行检查，了解设备故障情况及错误代码情况，以做出初步故障分析和定位，并指导采取紧急备份措施；</w:t>
      </w:r>
    </w:p>
    <w:p>
      <w:pPr>
        <w:numPr>
          <w:ilvl w:val="0"/>
          <w:numId w:val="2"/>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于影响生产的重大故障，根据初步的分析和判断后及时调动足够的备件并以最快的速度到达现场，如果情况紧急，工程师在到达现场的过程中会以电话指导用户系统管理员进行系统重起或进行备机切换接管生产，将宕机时间降低至最短。在启动备用方案的同时，工程师将进行设备修复。</w:t>
      </w:r>
    </w:p>
    <w:p>
      <w:pPr>
        <w:spacing w:line="360" w:lineRule="auto"/>
        <w:ind w:firstLine="480" w:firstLineChars="200"/>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highlight w:val="none"/>
          <w:shd w:val="clear" w:fill="FFFFFF"/>
          <w:lang w:val="en-US" w:eastAsia="zh-CN"/>
        </w:rPr>
        <w:t>（</w:t>
      </w:r>
      <w:r>
        <w:rPr>
          <w:rFonts w:hint="eastAsia" w:ascii="宋体" w:hAnsi="宋体" w:cs="宋体"/>
          <w:color w:val="auto"/>
          <w:sz w:val="24"/>
          <w:highlight w:val="none"/>
          <w:shd w:val="clear" w:fill="FFFFFF"/>
          <w:lang w:val="en-US" w:eastAsia="zh-CN"/>
        </w:rPr>
        <w:t>3</w:t>
      </w:r>
      <w:r>
        <w:rPr>
          <w:rFonts w:hint="eastAsia" w:ascii="宋体" w:hAnsi="宋体" w:eastAsia="宋体" w:cs="宋体"/>
          <w:color w:val="auto"/>
          <w:sz w:val="24"/>
          <w:highlight w:val="none"/>
          <w:shd w:val="clear" w:fill="FFFFFF"/>
          <w:lang w:val="en-US" w:eastAsia="zh-CN"/>
        </w:rPr>
        <w:t>）服务方式：主要包括三种方式电话支持咨询、远程诊断服务、现场支持服务。</w:t>
      </w: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4、系统设备故障现场服务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系统设备出现故障时，将根据故障级别及时到达现场，进行系统修复或硬件换件维修。</w:t>
      </w:r>
    </w:p>
    <w:p>
      <w:pPr>
        <w:numPr>
          <w:ilvl w:val="0"/>
          <w:numId w:val="3"/>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在现场进行故障诊断；</w:t>
      </w:r>
    </w:p>
    <w:p>
      <w:pPr>
        <w:numPr>
          <w:ilvl w:val="0"/>
          <w:numId w:val="3"/>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启动故障恢复应急方案；</w:t>
      </w:r>
    </w:p>
    <w:p>
      <w:pPr>
        <w:numPr>
          <w:ilvl w:val="0"/>
          <w:numId w:val="3"/>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更换有故障部件；</w:t>
      </w:r>
    </w:p>
    <w:p>
      <w:pPr>
        <w:numPr>
          <w:ilvl w:val="0"/>
          <w:numId w:val="3"/>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恢复故障设备系统运行；</w:t>
      </w:r>
    </w:p>
    <w:p>
      <w:pPr>
        <w:numPr>
          <w:ilvl w:val="0"/>
          <w:numId w:val="3"/>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故障处理汇报及预防措施实施；</w:t>
      </w:r>
    </w:p>
    <w:p>
      <w:pPr>
        <w:numPr>
          <w:ilvl w:val="0"/>
          <w:numId w:val="3"/>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每次现场维护、维修后，须提交《故障处理报告》并交甲方签字认可，双方各留一份以备存档。设备维护报告包括报障时间、服务开始和结束时间、故障现象、故障分析及处理过程、遗留问题、客户建议、服务工单确认等内容。</w:t>
      </w:r>
    </w:p>
    <w:p>
      <w:pPr>
        <w:numPr>
          <w:ilvl w:val="0"/>
          <w:numId w:val="3"/>
        </w:numPr>
        <w:spacing w:line="360" w:lineRule="auto"/>
        <w:ind w:left="360" w:leftChars="0" w:firstLine="48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对于影响重大的故障或者用户认为需提交分析报告的故障，还将在故障处理后两个工作日内提供故障分析报告，报告将详细描述整个故障的处理过程，并提出合理化建议。</w:t>
      </w: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5、应急配套保障服务和配件要求</w:t>
      </w:r>
    </w:p>
    <w:p>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shd w:val="clear" w:fill="FFFFFF"/>
          <w:lang w:val="en-US" w:eastAsia="zh-CN"/>
        </w:rPr>
        <w:t>为了保障医院关键业务支撑系统设备运行的可靠性及重要性，须承诺提供上门服务，并承诺维保设备所更换的任何零部件均与维保设备原零部件完全兼容，中标后采购人有权进行核实，若发现虚假响应，采购人有权单方面终止合同，且中标人还要承担赔偿责任和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（二）数据库运维服务要求</w:t>
      </w: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1、数据库运维服务范围</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为网络技术中心负责医院的HIS、EMR、LIS、PACS、集成平台等核心数据库和</w:t>
      </w:r>
      <w:r>
        <w:rPr>
          <w:rFonts w:hint="eastAsia" w:ascii="宋体" w:hAnsi="宋体" w:cs="宋体"/>
          <w:color w:val="auto"/>
          <w:sz w:val="24"/>
          <w:highlight w:val="none"/>
          <w:shd w:val="clear" w:fill="FFFFFF"/>
          <w:lang w:val="en-US" w:eastAsia="zh-CN"/>
        </w:rPr>
        <w:t>部分</w:t>
      </w:r>
      <w:r>
        <w:rPr>
          <w:rFonts w:hint="eastAsia" w:ascii="宋体" w:hAnsi="宋体" w:eastAsia="宋体" w:cs="宋体"/>
          <w:color w:val="auto"/>
          <w:sz w:val="24"/>
          <w:highlight w:val="none"/>
          <w:shd w:val="clear" w:fill="FFFFFF"/>
          <w:lang w:val="en-US" w:eastAsia="zh-CN"/>
        </w:rPr>
        <w:t>主要业务</w:t>
      </w:r>
      <w:r>
        <w:rPr>
          <w:rFonts w:hint="eastAsia" w:ascii="宋体" w:hAnsi="宋体" w:cs="宋体"/>
          <w:color w:val="auto"/>
          <w:sz w:val="24"/>
          <w:highlight w:val="none"/>
          <w:shd w:val="clear" w:fill="FFFFFF"/>
          <w:lang w:val="en-US" w:eastAsia="zh-CN"/>
        </w:rPr>
        <w:t>（包含不限于：检验检查报告中心、移动护理、体检等系统）</w:t>
      </w:r>
      <w:r>
        <w:rPr>
          <w:rFonts w:hint="eastAsia" w:ascii="宋体" w:hAnsi="宋体" w:eastAsia="宋体" w:cs="宋体"/>
          <w:color w:val="auto"/>
          <w:sz w:val="24"/>
          <w:highlight w:val="none"/>
          <w:shd w:val="clear" w:fill="FFFFFF"/>
          <w:lang w:val="en-US" w:eastAsia="zh-CN"/>
        </w:rPr>
        <w:t>的数据库</w:t>
      </w:r>
      <w:r>
        <w:rPr>
          <w:rFonts w:hint="eastAsia" w:ascii="宋体" w:hAnsi="宋体" w:cs="宋体"/>
          <w:color w:val="auto"/>
          <w:sz w:val="24"/>
          <w:highlight w:val="none"/>
          <w:shd w:val="clear" w:fill="FFFFFF"/>
          <w:lang w:val="en-US" w:eastAsia="zh-CN"/>
        </w:rPr>
        <w:t>（</w:t>
      </w:r>
      <w:r>
        <w:rPr>
          <w:rFonts w:hint="eastAsia" w:ascii="宋体" w:hAnsi="宋体" w:eastAsia="宋体" w:cs="宋体"/>
          <w:color w:val="auto"/>
          <w:sz w:val="24"/>
          <w:highlight w:val="none"/>
          <w:shd w:val="clear" w:fill="FFFFFF"/>
          <w:lang w:val="en-US" w:eastAsia="zh-CN"/>
        </w:rPr>
        <w:t>包含常用数据库。包含不限于oralce、SQL server、Mysql、达梦、人大金仓等</w:t>
      </w:r>
      <w:r>
        <w:rPr>
          <w:rFonts w:hint="eastAsia" w:ascii="宋体" w:hAnsi="宋体" w:cs="宋体"/>
          <w:color w:val="auto"/>
          <w:sz w:val="24"/>
          <w:highlight w:val="none"/>
          <w:shd w:val="clear" w:fill="FFFFFF"/>
          <w:lang w:val="en-US" w:eastAsia="zh-CN"/>
        </w:rPr>
        <w:t>）</w:t>
      </w:r>
      <w:r>
        <w:rPr>
          <w:rFonts w:hint="eastAsia" w:ascii="宋体" w:hAnsi="宋体" w:eastAsia="宋体" w:cs="宋体"/>
          <w:color w:val="auto"/>
          <w:sz w:val="24"/>
          <w:highlight w:val="none"/>
          <w:shd w:val="clear" w:fill="FFFFFF"/>
          <w:lang w:val="en-US" w:eastAsia="zh-CN"/>
        </w:rPr>
        <w:t>提供业务数据库</w:t>
      </w:r>
      <w:r>
        <w:rPr>
          <w:rFonts w:hint="eastAsia" w:ascii="宋体" w:hAnsi="宋体" w:cs="宋体"/>
          <w:color w:val="auto"/>
          <w:sz w:val="24"/>
          <w:highlight w:val="none"/>
          <w:shd w:val="clear" w:fill="FFFFFF"/>
          <w:lang w:val="en-US" w:eastAsia="zh-CN"/>
        </w:rPr>
        <w:t>的</w:t>
      </w:r>
      <w:r>
        <w:rPr>
          <w:rFonts w:hint="eastAsia" w:ascii="宋体" w:hAnsi="宋体" w:eastAsia="宋体" w:cs="宋体"/>
          <w:color w:val="auto"/>
          <w:sz w:val="24"/>
          <w:highlight w:val="none"/>
          <w:shd w:val="clear" w:fill="FFFFFF"/>
          <w:lang w:val="en-US" w:eastAsia="zh-CN"/>
        </w:rPr>
        <w:t>运维支撑服务，服务周期为一年</w:t>
      </w:r>
      <w:r>
        <w:rPr>
          <w:rFonts w:hint="eastAsia" w:ascii="宋体" w:hAnsi="宋体" w:cs="宋体"/>
          <w:color w:val="auto"/>
          <w:sz w:val="24"/>
          <w:highlight w:val="none"/>
          <w:shd w:val="clear" w:fill="FFFFFF"/>
          <w:lang w:val="en-US" w:eastAsia="zh-CN"/>
        </w:rPr>
        <w:t>；</w:t>
      </w: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2、数据库运维服务内容和要求</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针对网络技术中心负责医院的HIS、EMR、LIS、PACS、集成平台等核心数据库和一些主要业务的数据库包括但不限于ORACLE、SQLSERVER、MYSQL、达梦、人大金仓等，</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运维服务内容</w:t>
      </w:r>
      <w:r>
        <w:rPr>
          <w:rFonts w:hint="eastAsia" w:ascii="宋体" w:hAnsi="宋体" w:eastAsia="宋体" w:cs="宋体"/>
          <w:color w:val="auto"/>
          <w:sz w:val="24"/>
          <w:highlight w:val="none"/>
          <w:shd w:val="clear" w:fill="FFFFFF"/>
          <w:lang w:val="en-US" w:eastAsia="zh-CN"/>
        </w:rPr>
        <w:t>及要求如下：</w:t>
      </w:r>
    </w:p>
    <w:p>
      <w:pPr>
        <w:pStyle w:val="14"/>
        <w:numPr>
          <w:ilvl w:val="0"/>
          <w:numId w:val="0"/>
        </w:numPr>
        <w:tabs>
          <w:tab w:val="left" w:pos="993"/>
        </w:tabs>
        <w:spacing w:line="360" w:lineRule="auto"/>
        <w:ind w:left="425" w:leftChars="0"/>
        <w:rPr>
          <w:rFonts w:hint="eastAsia" w:ascii="宋体" w:hAnsi="宋体" w:eastAsia="宋体"/>
          <w:b/>
          <w:color w:val="auto"/>
          <w:sz w:val="24"/>
          <w:szCs w:val="28"/>
          <w:highlight w:val="none"/>
          <w:lang w:val="en-US" w:eastAsia="zh-CN"/>
        </w:rPr>
      </w:pPr>
      <w:r>
        <w:rPr>
          <w:rFonts w:hint="eastAsia" w:ascii="宋体" w:hAnsi="宋体"/>
          <w:b/>
          <w:color w:val="auto"/>
          <w:sz w:val="24"/>
          <w:szCs w:val="28"/>
          <w:highlight w:val="none"/>
          <w:lang w:eastAsia="zh-CN"/>
        </w:rPr>
        <w:t>（</w:t>
      </w:r>
      <w:r>
        <w:rPr>
          <w:rFonts w:hint="eastAsia" w:ascii="宋体" w:hAnsi="宋体"/>
          <w:b/>
          <w:color w:val="auto"/>
          <w:sz w:val="24"/>
          <w:szCs w:val="28"/>
          <w:highlight w:val="none"/>
          <w:lang w:val="en-US" w:eastAsia="zh-CN"/>
        </w:rPr>
        <w:t>1</w:t>
      </w:r>
      <w:r>
        <w:rPr>
          <w:rFonts w:hint="eastAsia" w:ascii="宋体" w:hAnsi="宋体"/>
          <w:b/>
          <w:color w:val="auto"/>
          <w:sz w:val="24"/>
          <w:szCs w:val="28"/>
          <w:highlight w:val="none"/>
          <w:lang w:eastAsia="zh-CN"/>
        </w:rPr>
        <w:t>）</w:t>
      </w:r>
      <w:r>
        <w:rPr>
          <w:rFonts w:ascii="宋体" w:hAnsi="宋体"/>
          <w:b/>
          <w:color w:val="auto"/>
          <w:sz w:val="24"/>
          <w:szCs w:val="28"/>
          <w:highlight w:val="none"/>
        </w:rPr>
        <w:t>维护计划与资产梳理</w:t>
      </w:r>
      <w:r>
        <w:rPr>
          <w:rFonts w:hint="eastAsia" w:ascii="宋体" w:hAnsi="宋体"/>
          <w:b/>
          <w:color w:val="auto"/>
          <w:sz w:val="24"/>
          <w:szCs w:val="28"/>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为本项目成立服务团队并指定专项责任的工程师，并且根据运维经验以及数据库系统现状建立档案，编制系统维护计划，便于日常维护与异常时的快速故障排查。</w:t>
      </w:r>
    </w:p>
    <w:p>
      <w:pPr>
        <w:pStyle w:val="14"/>
        <w:numPr>
          <w:ilvl w:val="0"/>
          <w:numId w:val="0"/>
        </w:numPr>
        <w:tabs>
          <w:tab w:val="left" w:pos="993"/>
        </w:tabs>
        <w:spacing w:line="360" w:lineRule="auto"/>
        <w:ind w:left="425" w:leftChars="0"/>
        <w:rPr>
          <w:rFonts w:hint="eastAsia" w:ascii="宋体" w:hAnsi="宋体"/>
          <w:b/>
          <w:color w:val="auto"/>
          <w:sz w:val="24"/>
          <w:szCs w:val="28"/>
          <w:highlight w:val="none"/>
          <w:lang w:eastAsia="zh-CN"/>
        </w:rPr>
      </w:pPr>
      <w:r>
        <w:rPr>
          <w:rFonts w:hint="eastAsia" w:ascii="宋体" w:hAnsi="宋体"/>
          <w:b/>
          <w:color w:val="auto"/>
          <w:sz w:val="24"/>
          <w:szCs w:val="28"/>
          <w:highlight w:val="none"/>
          <w:lang w:eastAsia="zh-CN"/>
        </w:rPr>
        <w:t>（</w:t>
      </w:r>
      <w:r>
        <w:rPr>
          <w:rFonts w:hint="eastAsia" w:ascii="宋体" w:hAnsi="宋体"/>
          <w:b/>
          <w:color w:val="auto"/>
          <w:sz w:val="24"/>
          <w:szCs w:val="28"/>
          <w:highlight w:val="none"/>
          <w:lang w:val="en-US" w:eastAsia="zh-CN"/>
        </w:rPr>
        <w:t>2</w:t>
      </w:r>
      <w:r>
        <w:rPr>
          <w:rFonts w:hint="eastAsia" w:ascii="宋体" w:hAnsi="宋体"/>
          <w:b/>
          <w:color w:val="auto"/>
          <w:sz w:val="24"/>
          <w:szCs w:val="28"/>
          <w:highlight w:val="none"/>
          <w:lang w:eastAsia="zh-CN"/>
        </w:rPr>
        <w:t>）</w:t>
      </w:r>
      <w:r>
        <w:rPr>
          <w:rFonts w:hint="eastAsia" w:ascii="宋体" w:hAnsi="宋体"/>
          <w:b/>
          <w:color w:val="auto"/>
          <w:sz w:val="24"/>
          <w:szCs w:val="28"/>
          <w:highlight w:val="none"/>
        </w:rPr>
        <w:t>数据库安装与</w:t>
      </w:r>
      <w:r>
        <w:rPr>
          <w:rFonts w:hint="eastAsia" w:ascii="宋体" w:hAnsi="宋体"/>
          <w:b/>
          <w:color w:val="auto"/>
          <w:sz w:val="24"/>
          <w:szCs w:val="28"/>
          <w:highlight w:val="none"/>
          <w:lang w:val="en-US" w:eastAsia="zh-CN"/>
        </w:rPr>
        <w:t>集群</w:t>
      </w:r>
      <w:r>
        <w:rPr>
          <w:rFonts w:hint="eastAsia" w:ascii="宋体" w:hAnsi="宋体"/>
          <w:b/>
          <w:color w:val="auto"/>
          <w:sz w:val="24"/>
          <w:szCs w:val="28"/>
          <w:highlight w:val="none"/>
        </w:rPr>
        <w:t>部署</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在服务期内，负责各类数据库（如EMR、PACS、HIS、LIS、集成平台等）的新建、规划、标准化安装</w:t>
      </w:r>
      <w:r>
        <w:rPr>
          <w:rFonts w:hint="eastAsia" w:ascii="宋体" w:hAnsi="宋体" w:cs="宋体"/>
          <w:color w:val="auto"/>
          <w:sz w:val="24"/>
          <w:highlight w:val="none"/>
          <w:shd w:val="clear" w:fill="FFFFFF"/>
          <w:lang w:val="en-US" w:eastAsia="zh-CN"/>
        </w:rPr>
        <w:t>部署各种数据库集群（如：</w:t>
      </w:r>
      <w:r>
        <w:rPr>
          <w:rFonts w:hint="eastAsia" w:ascii="宋体" w:hAnsi="宋体" w:cs="宋体"/>
          <w:color w:val="auto"/>
          <w:sz w:val="24"/>
          <w:highlight w:val="none"/>
          <w:shd w:val="clear" w:fill="FFFFFF"/>
        </w:rPr>
        <w:t>主从复制、主备</w:t>
      </w:r>
      <w:r>
        <w:rPr>
          <w:rFonts w:hint="eastAsia" w:ascii="宋体" w:hAnsi="宋体" w:cs="宋体"/>
          <w:color w:val="auto"/>
          <w:sz w:val="24"/>
          <w:highlight w:val="none"/>
          <w:shd w:val="clear" w:fill="FFFFFF"/>
          <w:lang w:eastAsia="zh-CN"/>
        </w:rPr>
        <w:t>、</w:t>
      </w:r>
      <w:r>
        <w:rPr>
          <w:rFonts w:hint="eastAsia" w:ascii="宋体" w:hAnsi="宋体" w:cs="宋体"/>
          <w:color w:val="auto"/>
          <w:sz w:val="24"/>
          <w:highlight w:val="none"/>
          <w:shd w:val="clear" w:fill="FFFFFF"/>
        </w:rPr>
        <w:t>Oracle RAC</w:t>
      </w:r>
      <w:r>
        <w:rPr>
          <w:rFonts w:hint="eastAsia" w:ascii="宋体" w:hAnsi="宋体" w:cs="宋体"/>
          <w:color w:val="auto"/>
          <w:sz w:val="24"/>
          <w:highlight w:val="none"/>
          <w:shd w:val="clear" w:fill="FFFFFF"/>
          <w:lang w:eastAsia="zh-CN"/>
        </w:rPr>
        <w:t>、</w:t>
      </w:r>
      <w:r>
        <w:rPr>
          <w:rFonts w:hint="eastAsia" w:ascii="宋体" w:hAnsi="宋体" w:cs="宋体"/>
          <w:color w:val="auto"/>
          <w:sz w:val="24"/>
          <w:highlight w:val="none"/>
          <w:shd w:val="clear" w:fill="FFFFFF"/>
        </w:rPr>
        <w:t>DataWatch</w:t>
      </w:r>
      <w:r>
        <w:rPr>
          <w:rFonts w:hint="eastAsia" w:ascii="宋体" w:hAnsi="宋体" w:cs="宋体"/>
          <w:color w:val="auto"/>
          <w:sz w:val="24"/>
          <w:highlight w:val="none"/>
          <w:shd w:val="clear" w:fill="FFFFFF"/>
          <w:lang w:val="en-US" w:eastAsia="zh-CN"/>
        </w:rPr>
        <w:t>等）服务</w:t>
      </w:r>
      <w:r>
        <w:rPr>
          <w:rFonts w:hint="eastAsia" w:ascii="宋体" w:hAnsi="宋体" w:eastAsia="宋体" w:cs="宋体"/>
          <w:color w:val="auto"/>
          <w:sz w:val="24"/>
          <w:highlight w:val="none"/>
          <w:shd w:val="clear" w:fill="FFFFFF"/>
          <w:lang w:val="en-US" w:eastAsia="zh-CN"/>
        </w:rPr>
        <w:t>。</w:t>
      </w:r>
    </w:p>
    <w:p>
      <w:pPr>
        <w:pStyle w:val="14"/>
        <w:numPr>
          <w:ilvl w:val="0"/>
          <w:numId w:val="0"/>
        </w:numPr>
        <w:tabs>
          <w:tab w:val="left" w:pos="993"/>
        </w:tabs>
        <w:spacing w:line="360" w:lineRule="auto"/>
        <w:ind w:left="425" w:leftChars="0"/>
        <w:rPr>
          <w:rFonts w:hint="eastAsia" w:ascii="宋体" w:hAnsi="宋体"/>
          <w:b/>
          <w:color w:val="auto"/>
          <w:sz w:val="24"/>
          <w:szCs w:val="28"/>
          <w:highlight w:val="none"/>
          <w:lang w:eastAsia="zh-CN"/>
        </w:rPr>
      </w:pPr>
      <w:r>
        <w:rPr>
          <w:rFonts w:hint="eastAsia" w:ascii="宋体" w:hAnsi="宋体"/>
          <w:b/>
          <w:color w:val="auto"/>
          <w:sz w:val="24"/>
          <w:szCs w:val="28"/>
          <w:highlight w:val="none"/>
          <w:lang w:eastAsia="zh-CN"/>
        </w:rPr>
        <w:t>（</w:t>
      </w:r>
      <w:r>
        <w:rPr>
          <w:rFonts w:hint="eastAsia" w:ascii="宋体" w:hAnsi="宋体"/>
          <w:b/>
          <w:color w:val="auto"/>
          <w:sz w:val="24"/>
          <w:szCs w:val="28"/>
          <w:highlight w:val="none"/>
          <w:lang w:val="en-US" w:eastAsia="zh-CN"/>
        </w:rPr>
        <w:t>3</w:t>
      </w:r>
      <w:r>
        <w:rPr>
          <w:rFonts w:hint="eastAsia" w:ascii="宋体" w:hAnsi="宋体"/>
          <w:b/>
          <w:color w:val="auto"/>
          <w:sz w:val="24"/>
          <w:szCs w:val="28"/>
          <w:highlight w:val="none"/>
          <w:lang w:eastAsia="zh-CN"/>
        </w:rPr>
        <w:t>）数据库故障诊断及处理服务</w:t>
      </w:r>
    </w:p>
    <w:p>
      <w:pPr>
        <w:spacing w:line="360" w:lineRule="auto"/>
        <w:ind w:firstLine="480" w:firstLineChars="200"/>
        <w:rPr>
          <w:rFonts w:hint="default"/>
          <w:color w:val="auto"/>
          <w:highlight w:val="none"/>
          <w:lang w:val="en-US" w:eastAsia="zh-CN"/>
        </w:rPr>
      </w:pPr>
      <w:r>
        <w:rPr>
          <w:rFonts w:hint="eastAsia" w:ascii="宋体" w:hAnsi="宋体" w:eastAsia="宋体" w:cs="宋体"/>
          <w:color w:val="auto"/>
          <w:sz w:val="24"/>
          <w:highlight w:val="none"/>
          <w:shd w:val="clear" w:fill="FFFFFF"/>
          <w:lang w:val="en-US" w:eastAsia="zh-CN"/>
        </w:rPr>
        <w:t>数据库出现问题时，应及时对问题进行诊断、分析，并解决问题，当接到采购人现场服务请求后，应立即响应</w:t>
      </w:r>
      <w:r>
        <w:rPr>
          <w:rFonts w:hint="eastAsia" w:ascii="宋体" w:hAnsi="宋体" w:cs="宋体"/>
          <w:color w:val="auto"/>
          <w:sz w:val="24"/>
          <w:highlight w:val="none"/>
          <w:shd w:val="clear" w:fill="FFFFFF"/>
          <w:lang w:val="en-US" w:eastAsia="zh-CN"/>
        </w:rPr>
        <w:t>，</w:t>
      </w:r>
      <w:r>
        <w:rPr>
          <w:rFonts w:ascii="宋体" w:hAnsi="宋体" w:eastAsia="宋体" w:cs="宋体"/>
          <w:color w:val="auto"/>
          <w:sz w:val="24"/>
          <w:highlight w:val="none"/>
        </w:rPr>
        <w:t>通过电话远程解决故障，倘若无法解决，要求工程师在2小时内到达到故障现场，故障解决时限为24小时</w:t>
      </w:r>
      <w:r>
        <w:rPr>
          <w:rFonts w:hint="eastAsia" w:ascii="宋体" w:hAnsi="宋体" w:eastAsia="宋体" w:cs="宋体"/>
          <w:color w:val="auto"/>
          <w:sz w:val="24"/>
          <w:highlight w:val="none"/>
          <w:shd w:val="clear" w:fill="FFFFFF"/>
          <w:lang w:val="en-US" w:eastAsia="zh-CN"/>
        </w:rPr>
        <w:t>。</w:t>
      </w:r>
    </w:p>
    <w:p>
      <w:pPr>
        <w:pStyle w:val="14"/>
        <w:numPr>
          <w:ilvl w:val="0"/>
          <w:numId w:val="0"/>
        </w:numPr>
        <w:tabs>
          <w:tab w:val="left" w:pos="993"/>
        </w:tabs>
        <w:spacing w:line="360" w:lineRule="auto"/>
        <w:ind w:left="425" w:leftChars="0"/>
        <w:rPr>
          <w:rFonts w:hint="eastAsia" w:ascii="宋体" w:hAnsi="宋体"/>
          <w:b/>
          <w:color w:val="auto"/>
          <w:sz w:val="24"/>
          <w:szCs w:val="28"/>
          <w:highlight w:val="none"/>
          <w:lang w:eastAsia="zh-CN"/>
        </w:rPr>
      </w:pPr>
      <w:r>
        <w:rPr>
          <w:rFonts w:hint="eastAsia" w:ascii="宋体" w:hAnsi="宋体"/>
          <w:b/>
          <w:color w:val="auto"/>
          <w:sz w:val="24"/>
          <w:szCs w:val="28"/>
          <w:highlight w:val="none"/>
          <w:lang w:eastAsia="zh-CN"/>
        </w:rPr>
        <w:t>（</w:t>
      </w:r>
      <w:r>
        <w:rPr>
          <w:rFonts w:hint="eastAsia" w:ascii="宋体" w:hAnsi="宋体"/>
          <w:b/>
          <w:color w:val="auto"/>
          <w:sz w:val="24"/>
          <w:szCs w:val="28"/>
          <w:highlight w:val="none"/>
          <w:lang w:val="en-US" w:eastAsia="zh-CN"/>
        </w:rPr>
        <w:t>4</w:t>
      </w:r>
      <w:r>
        <w:rPr>
          <w:rFonts w:hint="eastAsia" w:ascii="宋体" w:hAnsi="宋体"/>
          <w:b/>
          <w:color w:val="auto"/>
          <w:sz w:val="24"/>
          <w:szCs w:val="28"/>
          <w:highlight w:val="none"/>
          <w:lang w:eastAsia="zh-CN"/>
        </w:rPr>
        <w:t>）数据库现场巡检服务</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服务期内</w:t>
      </w:r>
      <w:r>
        <w:rPr>
          <w:rFonts w:hint="eastAsia" w:ascii="宋体" w:hAnsi="宋体" w:cs="宋体"/>
          <w:b/>
          <w:bCs/>
          <w:color w:val="auto"/>
          <w:sz w:val="24"/>
          <w:highlight w:val="none"/>
          <w:shd w:val="clear" w:fill="FFFFFF"/>
          <w:lang w:val="en-US" w:eastAsia="zh-CN"/>
        </w:rPr>
        <w:t>每个季度</w:t>
      </w:r>
      <w:r>
        <w:rPr>
          <w:rFonts w:hint="eastAsia" w:ascii="宋体" w:hAnsi="宋体" w:eastAsia="宋体" w:cs="宋体"/>
          <w:b/>
          <w:bCs/>
          <w:color w:val="auto"/>
          <w:sz w:val="24"/>
          <w:highlight w:val="none"/>
          <w:shd w:val="clear" w:fill="FFFFFF"/>
          <w:lang w:val="en-US" w:eastAsia="zh-CN"/>
        </w:rPr>
        <w:t>进行一次现场人工巡检，进行系统检查及预防性维护，并提供电子档巡检分析报告。巡检的内容至少应包括：</w:t>
      </w:r>
    </w:p>
    <w:p>
      <w:pPr>
        <w:numPr>
          <w:ilvl w:val="0"/>
          <w:numId w:val="5"/>
        </w:numPr>
        <w:spacing w:line="360" w:lineRule="auto"/>
        <w:ind w:left="1050" w:leftChars="0" w:hanging="42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对数据库系统进行性能检测；</w:t>
      </w:r>
    </w:p>
    <w:p>
      <w:pPr>
        <w:numPr>
          <w:ilvl w:val="0"/>
          <w:numId w:val="5"/>
        </w:numPr>
        <w:spacing w:line="360" w:lineRule="auto"/>
        <w:ind w:left="1050" w:leftChars="0" w:hanging="42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将系统健康检测的结果转化为简明易懂的报告；</w:t>
      </w:r>
    </w:p>
    <w:p>
      <w:pPr>
        <w:numPr>
          <w:ilvl w:val="0"/>
          <w:numId w:val="5"/>
        </w:numPr>
        <w:spacing w:line="360" w:lineRule="auto"/>
        <w:ind w:left="1050" w:leftChars="0" w:hanging="42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提供专业系统健康检测的服务专家跟进；</w:t>
      </w:r>
    </w:p>
    <w:p>
      <w:pPr>
        <w:numPr>
          <w:ilvl w:val="0"/>
          <w:numId w:val="5"/>
        </w:numPr>
        <w:spacing w:line="360" w:lineRule="auto"/>
        <w:ind w:left="1050" w:leftChars="0" w:hanging="42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对发现的问题进行定位，分析及处理；</w:t>
      </w:r>
    </w:p>
    <w:p>
      <w:pPr>
        <w:numPr>
          <w:ilvl w:val="0"/>
          <w:numId w:val="5"/>
        </w:numPr>
        <w:spacing w:line="360" w:lineRule="auto"/>
        <w:ind w:left="1050" w:leftChars="0" w:hanging="42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对数据库的历史运行记录进行整理，并进行分析，同时对系统上有关性能和故障可能性进行检查分析，并指出系统潜在的问题以及推荐解决方法；</w:t>
      </w:r>
    </w:p>
    <w:p>
      <w:pPr>
        <w:numPr>
          <w:ilvl w:val="0"/>
          <w:numId w:val="5"/>
        </w:numPr>
        <w:spacing w:line="360" w:lineRule="auto"/>
        <w:ind w:left="1050" w:leftChars="0" w:hanging="420" w:firstLineChars="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定期巡检服务须对采购人运行系统完全没有干扰和影响，应提供可读性强的报表形式呈现给采购人，包含分析报告及应对措施。</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数据库自动巡检</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服务期内，通过正式授权可合规使用的数据库智能运维工具</w:t>
      </w:r>
      <w:r>
        <w:rPr>
          <w:rFonts w:hint="eastAsia" w:ascii="宋体" w:hAnsi="宋体" w:cs="宋体"/>
          <w:color w:val="auto"/>
          <w:sz w:val="24"/>
          <w:highlight w:val="none"/>
          <w:shd w:val="clear" w:fill="FFFFFF"/>
          <w:lang w:val="en-US" w:eastAsia="zh-CN"/>
        </w:rPr>
        <w:t>，</w:t>
      </w:r>
      <w:r>
        <w:rPr>
          <w:rFonts w:hint="eastAsia" w:ascii="宋体" w:hAnsi="宋体" w:eastAsia="宋体" w:cs="宋体"/>
          <w:color w:val="auto"/>
          <w:sz w:val="24"/>
          <w:highlight w:val="none"/>
          <w:shd w:val="clear" w:fill="FFFFFF"/>
          <w:lang w:val="en-US" w:eastAsia="zh-CN"/>
        </w:rPr>
        <w:t>定期输出一份数据库自动巡检报告和SQL分析报告，报告内容应包括但不限于：数据库的基本概要信息，运行概况，主要对象信息，数据库表空间、文件IO、数据段、重做日志等重要指标的运行统计信息，备份状态；重要的SQL语句执行统计信息、执行计划分析、SQL性能指标情况，和SQL性能优化建议等</w:t>
      </w:r>
      <w:r>
        <w:rPr>
          <w:rFonts w:hint="eastAsia" w:ascii="宋体" w:hAnsi="宋体" w:cs="宋体"/>
          <w:color w:val="auto"/>
          <w:sz w:val="24"/>
          <w:highlight w:val="none"/>
          <w:shd w:val="clear" w:fill="FFFFFF"/>
          <w:lang w:val="en-US" w:eastAsia="zh-CN"/>
        </w:rPr>
        <w:t>。</w:t>
      </w:r>
      <w:r>
        <w:rPr>
          <w:rFonts w:ascii="宋体" w:hAnsi="宋体"/>
          <w:b/>
          <w:color w:val="auto"/>
          <w:sz w:val="24"/>
          <w:szCs w:val="28"/>
          <w:highlight w:val="none"/>
        </w:rPr>
        <w:t>需提供书面承诺（格式自拟）</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提供数据库定期性能调优服务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服务期内，在每次巡检的过程中，应对维护范围内的数据库系统提供性能调优</w:t>
      </w:r>
      <w:r>
        <w:rPr>
          <w:rFonts w:hint="eastAsia" w:ascii="宋体" w:hAnsi="宋体" w:cs="宋体"/>
          <w:color w:val="auto"/>
          <w:sz w:val="24"/>
          <w:highlight w:val="none"/>
          <w:shd w:val="clear" w:fill="FFFFFF"/>
          <w:lang w:val="en-US" w:eastAsia="zh-CN"/>
        </w:rPr>
        <w:t>协助</w:t>
      </w:r>
      <w:r>
        <w:rPr>
          <w:rFonts w:hint="eastAsia" w:ascii="宋体" w:hAnsi="宋体" w:eastAsia="宋体" w:cs="宋体"/>
          <w:color w:val="auto"/>
          <w:sz w:val="24"/>
          <w:highlight w:val="none"/>
          <w:shd w:val="clear" w:fill="FFFFFF"/>
          <w:lang w:val="en-US" w:eastAsia="zh-CN"/>
        </w:rPr>
        <w:t>服务，针对慢查询、资源瓶颈等问题进行根因分析，提供SQL优化、索引优化、参数调优等解决方案，提升系统处理能力</w:t>
      </w:r>
      <w:r>
        <w:rPr>
          <w:rFonts w:hint="eastAsia" w:ascii="宋体" w:hAnsi="宋体" w:cs="宋体"/>
          <w:color w:val="auto"/>
          <w:sz w:val="24"/>
          <w:highlight w:val="none"/>
          <w:shd w:val="clear" w:fill="FFFFFF"/>
          <w:lang w:val="en-US" w:eastAsia="zh-CN"/>
        </w:rPr>
        <w:t>，</w:t>
      </w:r>
      <w:r>
        <w:rPr>
          <w:rFonts w:hint="eastAsia" w:ascii="宋体" w:hAnsi="宋体" w:eastAsia="宋体" w:cs="宋体"/>
          <w:color w:val="auto"/>
          <w:sz w:val="24"/>
          <w:highlight w:val="none"/>
          <w:shd w:val="clear" w:fill="FFFFFF"/>
          <w:lang w:val="en-US" w:eastAsia="zh-CN"/>
        </w:rPr>
        <w:t>具体情况在不影响业务系统正常运行的情况下适当优化参数，以便保证系统性能不断改进并运行在最佳状态。</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提供数据库补丁版本升级服务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在服务期内提供必要的数据库补丁版本升级服务及升级保障服务以满足安全合规要求或降低已知系统风险，升级前提供风险评估、详细的升级方案和应急保障措施, 补丁包含11G、12C、19C截止响应时最新的补丁。方案经采购人评估通过后方可进行打补丁及版本升级。</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提供免费顾问咨询服务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cs="宋体"/>
          <w:color w:val="auto"/>
          <w:sz w:val="24"/>
          <w:highlight w:val="none"/>
          <w:shd w:val="clear" w:fill="FFFFFF"/>
          <w:lang w:val="en-US" w:eastAsia="zh-CN"/>
        </w:rPr>
        <w:t>在</w:t>
      </w:r>
      <w:r>
        <w:rPr>
          <w:rFonts w:hint="eastAsia" w:ascii="宋体" w:hAnsi="宋体" w:eastAsia="宋体" w:cs="宋体"/>
          <w:color w:val="auto"/>
          <w:sz w:val="24"/>
          <w:highlight w:val="none"/>
          <w:shd w:val="clear" w:fill="FFFFFF"/>
          <w:lang w:val="en-US" w:eastAsia="zh-CN"/>
        </w:rPr>
        <w:t>服务期内提供免费咨询服务，回答数据库有关操作、故障诊断方面的问题。内容包括：故障诊断排除、系统性能优化分析、系统管理等，顾问咨询方式分为电话传真服务、远程在线服务和现场服务。</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培训服务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对采购人相关技术人员</w:t>
      </w:r>
      <w:r>
        <w:rPr>
          <w:rFonts w:hint="eastAsia" w:ascii="宋体" w:hAnsi="宋体" w:cs="宋体"/>
          <w:color w:val="auto"/>
          <w:sz w:val="24"/>
          <w:highlight w:val="none"/>
          <w:shd w:val="clear" w:fill="FFFFFF"/>
          <w:lang w:val="en-US" w:eastAsia="zh-CN"/>
        </w:rPr>
        <w:t>、</w:t>
      </w:r>
      <w:r>
        <w:rPr>
          <w:rFonts w:hint="eastAsia" w:ascii="宋体" w:hAnsi="宋体" w:cs="宋体"/>
          <w:color w:val="auto"/>
          <w:sz w:val="24"/>
          <w:highlight w:val="none"/>
          <w:shd w:val="clear" w:fill="FFFFFF"/>
        </w:rPr>
        <w:t>开发人员、运维人员或其他相关人员提供数据库技术培训，内容包括但不限于SQL编写规范、</w:t>
      </w:r>
      <w:r>
        <w:rPr>
          <w:rFonts w:hint="eastAsia" w:ascii="宋体" w:hAnsi="宋体" w:cs="宋体"/>
          <w:color w:val="auto"/>
          <w:sz w:val="24"/>
          <w:highlight w:val="none"/>
          <w:shd w:val="clear" w:fill="FFFFFF"/>
          <w:lang w:val="en-US" w:eastAsia="zh-CN"/>
        </w:rPr>
        <w:t>数据库作用脚本的制作、</w:t>
      </w:r>
      <w:r>
        <w:rPr>
          <w:rFonts w:hint="eastAsia" w:ascii="宋体" w:hAnsi="宋体" w:cs="宋体"/>
          <w:color w:val="auto"/>
          <w:sz w:val="24"/>
          <w:highlight w:val="none"/>
          <w:shd w:val="clear" w:fill="FFFFFF"/>
        </w:rPr>
        <w:t>日常运维</w:t>
      </w:r>
      <w:r>
        <w:rPr>
          <w:rFonts w:hint="eastAsia" w:ascii="宋体" w:hAnsi="宋体" w:eastAsia="宋体" w:cs="宋体"/>
          <w:color w:val="auto"/>
          <w:sz w:val="24"/>
          <w:highlight w:val="none"/>
          <w:shd w:val="clear" w:fill="FFFFFF"/>
          <w:lang w:val="en-US" w:eastAsia="zh-CN"/>
        </w:rPr>
        <w:t>数据库</w:t>
      </w:r>
      <w:r>
        <w:rPr>
          <w:rFonts w:hint="eastAsia" w:ascii="宋体" w:hAnsi="宋体" w:cs="宋体"/>
          <w:color w:val="auto"/>
          <w:sz w:val="24"/>
          <w:highlight w:val="none"/>
          <w:shd w:val="clear" w:fill="FFFFFF"/>
          <w:lang w:val="en-US" w:eastAsia="zh-CN"/>
        </w:rPr>
        <w:t>的</w:t>
      </w:r>
      <w:r>
        <w:rPr>
          <w:rFonts w:hint="eastAsia" w:ascii="宋体" w:hAnsi="宋体" w:eastAsia="宋体" w:cs="宋体"/>
          <w:color w:val="auto"/>
          <w:sz w:val="24"/>
          <w:highlight w:val="none"/>
          <w:shd w:val="clear" w:fill="FFFFFF"/>
          <w:lang w:val="en-US" w:eastAsia="zh-CN"/>
        </w:rPr>
        <w:t>维护操作、故障处理与系统优化</w:t>
      </w:r>
      <w:r>
        <w:rPr>
          <w:rFonts w:hint="eastAsia" w:ascii="宋体" w:hAnsi="宋体" w:cs="宋体"/>
          <w:color w:val="auto"/>
          <w:sz w:val="24"/>
          <w:highlight w:val="none"/>
          <w:shd w:val="clear" w:fill="FFFFFF"/>
        </w:rPr>
        <w:t>等，提升团队整体技术水平。</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数据库迁移服务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因操作系统平台变更、更换存储硬件、数据库版本升级或系统上云等需要进行的数据库或数据迁移服务。要求在线迁移不影响正常业务，系统割接停机时间不超过</w:t>
      </w:r>
      <w:r>
        <w:rPr>
          <w:rFonts w:hint="eastAsia" w:ascii="宋体" w:hAnsi="宋体" w:cs="宋体"/>
          <w:color w:val="auto"/>
          <w:sz w:val="24"/>
          <w:highlight w:val="none"/>
          <w:shd w:val="clear" w:fill="FFFFFF"/>
          <w:lang w:val="en-US" w:eastAsia="zh-CN"/>
        </w:rPr>
        <w:t>2</w:t>
      </w:r>
      <w:r>
        <w:rPr>
          <w:rFonts w:hint="eastAsia" w:ascii="宋体" w:hAnsi="宋体" w:eastAsia="宋体" w:cs="宋体"/>
          <w:color w:val="auto"/>
          <w:sz w:val="24"/>
          <w:highlight w:val="none"/>
          <w:shd w:val="clear" w:fill="FFFFFF"/>
          <w:lang w:val="en-US" w:eastAsia="zh-CN"/>
        </w:rPr>
        <w:t>小时。需确保数据的完整性、一致性和可用性。</w:t>
      </w:r>
    </w:p>
    <w:p>
      <w:pPr>
        <w:numPr>
          <w:ilvl w:val="0"/>
          <w:numId w:val="4"/>
        </w:numPr>
        <w:spacing w:line="360" w:lineRule="auto"/>
        <w:ind w:left="0" w:leftChars="0" w:firstLine="482" w:firstLineChars="2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数据库灾备服务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对平台内已通过数据库原生组件建立容灾关系的重要数据库提供容灾状态监测和容灾维护服务，通过数据库管理平台和人工定期巡检相结合的方式保障容灾状态的正常运行，在资源条件许可情况下协助院方创建自动备份任务与备份脚本，需要时提供容灾切换演练服务和重大故障应急切换服务，参照互联互通、电子病历评审、三级医院评审等行业规范，为院方提供灾备建设方案咨询服务</w:t>
      </w:r>
      <w:r>
        <w:rPr>
          <w:rFonts w:hint="eastAsia" w:ascii="宋体" w:hAnsi="宋体" w:cs="宋体"/>
          <w:color w:val="auto"/>
          <w:sz w:val="24"/>
          <w:highlight w:val="none"/>
          <w:shd w:val="clear" w:fill="FFFFFF"/>
          <w:lang w:val="en-US" w:eastAsia="zh-CN"/>
        </w:rPr>
        <w:t>。</w:t>
      </w:r>
    </w:p>
    <w:p>
      <w:pPr>
        <w:pStyle w:val="14"/>
        <w:numPr>
          <w:ilvl w:val="0"/>
          <w:numId w:val="0"/>
        </w:numPr>
        <w:tabs>
          <w:tab w:val="left" w:pos="993"/>
        </w:tabs>
        <w:spacing w:line="360" w:lineRule="auto"/>
        <w:ind w:left="425" w:leftChars="0"/>
        <w:rPr>
          <w:rFonts w:hint="eastAsia" w:ascii="宋体" w:hAnsi="宋体"/>
          <w:b/>
          <w:color w:val="auto"/>
          <w:sz w:val="24"/>
          <w:szCs w:val="28"/>
          <w:highlight w:val="none"/>
          <w:lang w:eastAsia="zh-CN"/>
        </w:rPr>
      </w:pPr>
      <w:r>
        <w:rPr>
          <w:rFonts w:hint="eastAsia" w:ascii="宋体" w:hAnsi="宋体"/>
          <w:b/>
          <w:color w:val="auto"/>
          <w:sz w:val="24"/>
          <w:szCs w:val="28"/>
          <w:highlight w:val="none"/>
          <w:lang w:eastAsia="zh-CN"/>
        </w:rPr>
        <w:t>（</w:t>
      </w:r>
      <w:r>
        <w:rPr>
          <w:rFonts w:hint="eastAsia" w:ascii="宋体" w:hAnsi="宋体"/>
          <w:b/>
          <w:color w:val="auto"/>
          <w:sz w:val="24"/>
          <w:szCs w:val="28"/>
          <w:highlight w:val="none"/>
          <w:lang w:val="en-US" w:eastAsia="zh-CN"/>
        </w:rPr>
        <w:t>5</w:t>
      </w:r>
      <w:r>
        <w:rPr>
          <w:rFonts w:hint="eastAsia" w:ascii="宋体" w:hAnsi="宋体"/>
          <w:b/>
          <w:color w:val="auto"/>
          <w:sz w:val="24"/>
          <w:szCs w:val="28"/>
          <w:highlight w:val="none"/>
          <w:lang w:eastAsia="zh-CN"/>
        </w:rPr>
        <w:t>）数据库自智能运维工具与业务系统性能优化服务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★服务期内为采购人现有数据库智能运维平台监测对象的节点数量提供许可，</w:t>
      </w:r>
      <w:r>
        <w:rPr>
          <w:rFonts w:hint="eastAsia" w:ascii="宋体" w:hAnsi="宋体" w:cs="宋体"/>
          <w:color w:val="auto"/>
          <w:sz w:val="24"/>
          <w:highlight w:val="none"/>
          <w:shd w:val="clear" w:fill="FFFFFF"/>
          <w:lang w:val="en-US" w:eastAsia="zh-CN"/>
        </w:rPr>
        <w:t>提供的</w:t>
      </w:r>
      <w:r>
        <w:rPr>
          <w:rFonts w:hint="eastAsia" w:ascii="宋体" w:hAnsi="宋体" w:eastAsia="宋体" w:cs="宋体"/>
          <w:color w:val="auto"/>
          <w:sz w:val="24"/>
          <w:highlight w:val="none"/>
          <w:shd w:val="clear" w:fill="FFFFFF"/>
          <w:lang w:val="en-US" w:eastAsia="zh-CN"/>
        </w:rPr>
        <w:t>数据库智能运维平台</w:t>
      </w:r>
      <w:r>
        <w:rPr>
          <w:rFonts w:hint="eastAsia" w:ascii="宋体" w:hAnsi="宋体" w:cs="宋体"/>
          <w:color w:val="auto"/>
          <w:sz w:val="24"/>
          <w:highlight w:val="none"/>
          <w:shd w:val="clear" w:fill="FFFFFF"/>
          <w:lang w:val="en-US" w:eastAsia="zh-CN"/>
        </w:rPr>
        <w:t>,</w:t>
      </w:r>
      <w:r>
        <w:rPr>
          <w:rFonts w:hint="eastAsia" w:ascii="宋体" w:hAnsi="宋体" w:eastAsia="宋体" w:cs="宋体"/>
          <w:color w:val="auto"/>
          <w:sz w:val="24"/>
          <w:highlight w:val="none"/>
          <w:shd w:val="clear" w:fill="FFFFFF"/>
          <w:lang w:val="en-US" w:eastAsia="zh-CN"/>
        </w:rPr>
        <w:t>至少满足网络技术中心负责核心业务信息系统所涉及的各种数据库提供自动运维、自动告警、快速定位复杂、持续监测与优化后台性能，以保障医院业务系统的平稳运行。所提供的许可为永久使用授权而非测试许可，许可授权的最终用户应是采购人的单位全称以确保采购人能够合法合规使用而不受第三方版权指控。</w:t>
      </w:r>
      <w:r>
        <w:rPr>
          <w:rFonts w:hint="eastAsia" w:ascii="宋体" w:hAnsi="宋体" w:eastAsia="宋体" w:cs="宋体"/>
          <w:b/>
          <w:bCs/>
          <w:color w:val="auto"/>
          <w:sz w:val="24"/>
          <w:highlight w:val="none"/>
          <w:shd w:val="clear" w:fill="FFFFFF"/>
          <w:lang w:val="en-US" w:eastAsia="zh-CN"/>
        </w:rPr>
        <w:t>需提供书面承诺（格式自拟）；</w:t>
      </w:r>
    </w:p>
    <w:p>
      <w:pPr>
        <w:spacing w:line="360" w:lineRule="auto"/>
        <w:ind w:firstLine="241" w:firstLineChars="100"/>
        <w:rPr>
          <w:rFonts w:hint="eastAsia" w:ascii="宋体" w:hAnsi="宋体" w:cs="宋体"/>
          <w:b/>
          <w:bCs/>
          <w:color w:val="auto"/>
          <w:sz w:val="24"/>
          <w:highlight w:val="none"/>
          <w:shd w:val="clear" w:fill="FFFFFF"/>
        </w:rPr>
      </w:pPr>
      <w:r>
        <w:rPr>
          <w:rFonts w:hint="eastAsia" w:ascii="宋体" w:hAnsi="宋体" w:cs="宋体"/>
          <w:b/>
          <w:bCs/>
          <w:color w:val="auto"/>
          <w:sz w:val="24"/>
          <w:szCs w:val="24"/>
          <w:highlight w:val="none"/>
          <w:shd w:val="clear" w:fill="FFFFFF"/>
          <w:lang w:val="en-US" w:eastAsia="zh-CN"/>
        </w:rPr>
        <w:t>3、</w:t>
      </w:r>
      <w:r>
        <w:rPr>
          <w:rFonts w:hint="eastAsia" w:ascii="宋体" w:hAnsi="宋体" w:eastAsia="宋体" w:cs="宋体"/>
          <w:b/>
          <w:bCs/>
          <w:color w:val="auto"/>
          <w:sz w:val="24"/>
          <w:highlight w:val="none"/>
          <w:shd w:val="clear" w:fill="FFFFFF"/>
        </w:rPr>
        <w:t>备份恢复演练服务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提供一年2次备份恢复演练服务，并提交恢复演练报告。</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（1）提供信息系统如：HIS、EMR、PACS、LIS、统一支付、合理用药、体检、心电、病理等，选择任意一个应用系统、数据库进行虚拟化恢复测试现场服务；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（2）虚拟化应用系统数据恢复演练结果会通过采购方现场验证或第三方验证，应用系统数据恢复测试未通过，会及时调整原系统问题，直至应用恢复演练通过验证。</w:t>
      </w:r>
    </w:p>
    <w:p>
      <w:pPr>
        <w:spacing w:line="360" w:lineRule="auto"/>
        <w:ind w:firstLine="241" w:firstLineChars="100"/>
        <w:rPr>
          <w:rFonts w:hint="eastAsia" w:ascii="宋体" w:hAnsi="宋体" w:cs="宋体"/>
          <w:b/>
          <w:bCs/>
          <w:color w:val="auto"/>
          <w:sz w:val="24"/>
          <w:szCs w:val="24"/>
          <w:highlight w:val="none"/>
          <w:shd w:val="clear" w:fill="FFFFFF"/>
          <w:lang w:val="en-US" w:eastAsia="zh-CN"/>
        </w:rPr>
      </w:pPr>
      <w:r>
        <w:rPr>
          <w:rFonts w:hint="eastAsia" w:ascii="宋体" w:hAnsi="宋体" w:cs="宋体"/>
          <w:b/>
          <w:bCs/>
          <w:color w:val="auto"/>
          <w:sz w:val="24"/>
          <w:szCs w:val="24"/>
          <w:highlight w:val="none"/>
          <w:shd w:val="clear" w:fill="FFFFFF"/>
          <w:lang w:val="en-US" w:eastAsia="zh-CN"/>
        </w:rPr>
        <w:t>4、电子病历测评支撑服务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在服务期内，涉及电子病历测评或评级会提供数据中心环境、双活高可用、备份容灾恢复演练材料等协助电子病历测评服务。</w:t>
      </w:r>
    </w:p>
    <w:p>
      <w:pPr>
        <w:spacing w:line="360" w:lineRule="auto"/>
        <w:ind w:firstLine="241" w:firstLineChars="100"/>
        <w:rPr>
          <w:rFonts w:hint="eastAsia" w:ascii="宋体" w:hAnsi="宋体" w:cs="宋体"/>
          <w:b/>
          <w:bCs/>
          <w:color w:val="auto"/>
          <w:sz w:val="24"/>
          <w:szCs w:val="24"/>
          <w:highlight w:val="none"/>
          <w:shd w:val="clear" w:fill="FFFFFF"/>
          <w:lang w:val="en-US" w:eastAsia="zh-CN"/>
        </w:rPr>
      </w:pPr>
      <w:r>
        <w:rPr>
          <w:rFonts w:hint="eastAsia" w:ascii="宋体" w:hAnsi="宋体" w:cs="宋体"/>
          <w:b/>
          <w:bCs/>
          <w:color w:val="auto"/>
          <w:sz w:val="24"/>
          <w:szCs w:val="24"/>
          <w:highlight w:val="none"/>
          <w:shd w:val="clear" w:fill="FFFFFF"/>
          <w:lang w:val="en-US" w:eastAsia="zh-CN"/>
        </w:rPr>
        <w:t>5、互联互通测评支撑服务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医院互联互通评级协助服务，在服务期内，涉及医院互联互通的评级所需提供数据中心环境、双活高可用、备份容灾恢复演练材料等协助互联互通测评服务。</w:t>
      </w:r>
    </w:p>
    <w:p>
      <w:pPr>
        <w:spacing w:line="360" w:lineRule="auto"/>
        <w:ind w:firstLine="241" w:firstLineChars="100"/>
        <w:rPr>
          <w:rFonts w:hint="eastAsia" w:ascii="宋体" w:hAnsi="宋体" w:cs="宋体"/>
          <w:b/>
          <w:bCs/>
          <w:color w:val="auto"/>
          <w:sz w:val="24"/>
          <w:szCs w:val="24"/>
          <w:highlight w:val="none"/>
          <w:shd w:val="clear" w:fill="FFFFFF"/>
          <w:lang w:val="en-US" w:eastAsia="zh-CN"/>
        </w:rPr>
      </w:pPr>
      <w:r>
        <w:rPr>
          <w:rFonts w:hint="eastAsia" w:ascii="宋体" w:hAnsi="宋体" w:cs="宋体"/>
          <w:b/>
          <w:bCs/>
          <w:color w:val="auto"/>
          <w:sz w:val="24"/>
          <w:szCs w:val="24"/>
          <w:highlight w:val="none"/>
          <w:shd w:val="clear" w:fill="FFFFFF"/>
          <w:lang w:val="en-US" w:eastAsia="zh-CN"/>
        </w:rPr>
        <w:t>6、三级等保测评支撑服务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在服务期内，涉及医院三级等保测评需提供数据中心虚拟化加固、备份容灾恢复演练材料等协助医院三级等保测评服务。</w:t>
      </w:r>
    </w:p>
    <w:p>
      <w:pPr>
        <w:pStyle w:val="2"/>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（三）服务团队和人员驻点服务要求</w:t>
      </w: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1、服务团队</w:t>
      </w:r>
    </w:p>
    <w:p>
      <w:pPr>
        <w:spacing w:line="360" w:lineRule="auto"/>
        <w:ind w:firstLine="480" w:firstLineChars="200"/>
        <w:rPr>
          <w:rFonts w:hint="eastAsia"/>
          <w:color w:val="auto"/>
          <w:highlight w:val="none"/>
          <w:lang w:val="en-US" w:eastAsia="zh-CN"/>
        </w:rPr>
      </w:pPr>
      <w:r>
        <w:rPr>
          <w:rFonts w:hint="eastAsia" w:ascii="宋体" w:hAnsi="宋体" w:eastAsia="宋体" w:cs="宋体"/>
          <w:color w:val="auto"/>
          <w:sz w:val="24"/>
          <w:highlight w:val="none"/>
          <w:shd w:val="clear" w:fill="FFFFFF"/>
          <w:lang w:val="en-US" w:eastAsia="zh-CN"/>
        </w:rPr>
        <w:t>至少安排5名后台技术支撑人员，提供硬件故障处置、配件更换、容灾备份系统的故障处置、业务系统的备份容灾策略调整、虚拟化平台的规划</w:t>
      </w:r>
      <w:r>
        <w:rPr>
          <w:rFonts w:hint="eastAsia" w:ascii="宋体" w:hAnsi="宋体" w:cs="宋体"/>
          <w:color w:val="auto"/>
          <w:sz w:val="24"/>
          <w:highlight w:val="none"/>
          <w:shd w:val="clear" w:fill="FFFFFF"/>
          <w:lang w:val="en-US" w:eastAsia="zh-CN"/>
        </w:rPr>
        <w:t>、</w:t>
      </w:r>
      <w:r>
        <w:rPr>
          <w:rFonts w:hint="eastAsia" w:ascii="宋体" w:hAnsi="宋体" w:eastAsia="宋体" w:cs="宋体"/>
          <w:color w:val="auto"/>
          <w:sz w:val="24"/>
          <w:highlight w:val="none"/>
          <w:shd w:val="clear" w:fill="FFFFFF"/>
          <w:lang w:val="en-US" w:eastAsia="zh-CN"/>
        </w:rPr>
        <w:t>策略调整、故障分析、业务系统数据库的故障处置</w:t>
      </w:r>
      <w:r>
        <w:rPr>
          <w:rFonts w:hint="eastAsia" w:ascii="宋体" w:hAnsi="宋体" w:cs="宋体"/>
          <w:color w:val="auto"/>
          <w:sz w:val="24"/>
          <w:highlight w:val="none"/>
          <w:shd w:val="clear" w:fill="FFFFFF"/>
          <w:lang w:val="en-US" w:eastAsia="zh-CN"/>
        </w:rPr>
        <w:t>及安装与配置</w:t>
      </w:r>
      <w:r>
        <w:rPr>
          <w:rFonts w:hint="eastAsia" w:ascii="宋体" w:hAnsi="宋体" w:eastAsia="宋体" w:cs="宋体"/>
          <w:color w:val="auto"/>
          <w:sz w:val="24"/>
          <w:highlight w:val="none"/>
          <w:shd w:val="clear" w:fill="FFFFFF"/>
          <w:lang w:val="en-US" w:eastAsia="zh-CN"/>
        </w:rPr>
        <w:t>、入场维护、系统调优及配合国产化实施、维护、软硬件技术培训等相关技术支撑；</w:t>
      </w:r>
      <w:r>
        <w:rPr>
          <w:rFonts w:hint="eastAsia" w:ascii="宋体" w:hAnsi="宋体" w:cs="宋体"/>
          <w:color w:val="auto"/>
          <w:sz w:val="24"/>
          <w:highlight w:val="none"/>
          <w:shd w:val="clear" w:fill="FFFFFF"/>
          <w:lang w:val="en-US" w:eastAsia="zh-CN"/>
        </w:rPr>
        <w:t>并熟练掌握包括但不限于VMWARE、H3C CAS、ZStack、华为Fusion、DELLEMC NETWORKER、DELLEMC RP4VM、国产灾备软件、环控及运维等应用软件。</w:t>
      </w:r>
      <w:r>
        <w:rPr>
          <w:rFonts w:hint="eastAsia" w:ascii="宋体" w:hAnsi="宋体" w:eastAsia="宋体" w:cs="宋体"/>
          <w:color w:val="auto"/>
          <w:sz w:val="24"/>
          <w:highlight w:val="none"/>
          <w:shd w:val="clear" w:fill="FFFFFF"/>
          <w:lang w:val="en-US" w:eastAsia="zh-CN"/>
        </w:rPr>
        <w:t>以上相关人员要求至少从事相关工作3年以上。同时后台技术支撑人员团队中必须具备数据库（Oracle、SQL、MySQL）相关认证、国产数据库（如达梦、人大金山等）相关认证及虚拟化相关认证（如vmware、CAS等）</w:t>
      </w:r>
      <w:r>
        <w:rPr>
          <w:rFonts w:hint="eastAsia" w:ascii="宋体" w:hAnsi="宋体" w:cs="宋体"/>
          <w:color w:val="auto"/>
          <w:sz w:val="24"/>
          <w:highlight w:val="none"/>
          <w:shd w:val="clear" w:fill="FFFFFF"/>
          <w:lang w:val="en-US" w:eastAsia="zh-CN"/>
        </w:rPr>
        <w:t>。</w:t>
      </w:r>
      <w:r>
        <w:rPr>
          <w:rFonts w:ascii="宋体" w:hAnsi="宋体"/>
          <w:b/>
          <w:color w:val="auto"/>
          <w:sz w:val="24"/>
          <w:szCs w:val="28"/>
          <w:highlight w:val="none"/>
        </w:rPr>
        <w:t>需提供书面承诺（格式自拟）</w:t>
      </w:r>
      <w:r>
        <w:rPr>
          <w:rFonts w:hint="eastAsia" w:ascii="宋体" w:hAnsi="宋体"/>
          <w:b/>
          <w:color w:val="auto"/>
          <w:sz w:val="24"/>
          <w:szCs w:val="28"/>
          <w:highlight w:val="none"/>
          <w:lang w:eastAsia="zh-CN"/>
        </w:rPr>
        <w:t>；</w:t>
      </w:r>
    </w:p>
    <w:p>
      <w:pPr>
        <w:spacing w:line="360" w:lineRule="auto"/>
        <w:ind w:firstLine="241" w:firstLineChars="100"/>
        <w:rPr>
          <w:rFonts w:hint="eastAsia" w:ascii="宋体" w:hAnsi="宋体" w:eastAsia="宋体" w:cs="宋体"/>
          <w:b/>
          <w:bCs/>
          <w:color w:val="auto"/>
          <w:sz w:val="24"/>
          <w:highlight w:val="none"/>
          <w:shd w:val="clear" w:fill="FFFFFF"/>
          <w:lang w:val="en-US" w:eastAsia="zh-CN"/>
        </w:rPr>
      </w:pPr>
      <w:r>
        <w:rPr>
          <w:rFonts w:hint="eastAsia" w:ascii="宋体" w:hAnsi="宋体" w:eastAsia="宋体" w:cs="宋体"/>
          <w:b/>
          <w:bCs/>
          <w:color w:val="auto"/>
          <w:sz w:val="24"/>
          <w:highlight w:val="none"/>
          <w:shd w:val="clear" w:fill="FFFFFF"/>
          <w:lang w:val="en-US" w:eastAsia="zh-CN"/>
        </w:rPr>
        <w:t>2、人员驻点服务</w:t>
      </w:r>
    </w:p>
    <w:p>
      <w:pPr>
        <w:spacing w:line="360" w:lineRule="auto"/>
        <w:ind w:firstLine="480" w:firstLineChars="200"/>
        <w:rPr>
          <w:rFonts w:hint="eastAsia" w:ascii="宋体" w:hAnsi="宋体" w:eastAsia="宋体" w:cs="宋体"/>
          <w:color w:val="auto"/>
          <w:sz w:val="24"/>
          <w:highlight w:val="none"/>
          <w:shd w:val="clear" w:fill="FFFFFF"/>
          <w:lang w:val="en-US" w:eastAsia="zh-CN"/>
        </w:rPr>
      </w:pPr>
      <w:r>
        <w:rPr>
          <w:rFonts w:hint="eastAsia" w:ascii="宋体" w:hAnsi="宋体" w:eastAsia="宋体" w:cs="宋体"/>
          <w:color w:val="auto"/>
          <w:sz w:val="24"/>
          <w:highlight w:val="none"/>
          <w:shd w:val="clear" w:fill="FFFFFF"/>
          <w:lang w:val="en-US" w:eastAsia="zh-CN"/>
        </w:rPr>
        <w:t>至少安排1名固定驻场工程师自2026年4月起到2026年11月30日期间的驻点服务，上下班时间跟医院保持一致，确保及时响应医院要求；该驻场工程师应具有相关网络、服务器、存储系统驻场服务工作经历，熟练掌握各类网络、服务器、存储设备，至少具有两年以上数据中心、服务器、存储等设备的实际工作经验。同时该驻场工程师必需具备现有存储（如HPE、富士通）的存储工程师认证</w:t>
      </w:r>
      <w:r>
        <w:rPr>
          <w:rFonts w:hint="eastAsia" w:ascii="宋体" w:hAnsi="宋体" w:cs="宋体"/>
          <w:color w:val="auto"/>
          <w:sz w:val="24"/>
          <w:highlight w:val="none"/>
          <w:shd w:val="clear" w:fill="FFFFFF"/>
          <w:lang w:val="en-US" w:eastAsia="zh-CN"/>
        </w:rPr>
        <w:t>。</w:t>
      </w:r>
      <w:r>
        <w:rPr>
          <w:rFonts w:ascii="宋体" w:hAnsi="宋体"/>
          <w:b/>
          <w:color w:val="auto"/>
          <w:sz w:val="24"/>
          <w:szCs w:val="28"/>
          <w:highlight w:val="none"/>
        </w:rPr>
        <w:t>需提供书面承诺（格式自拟）</w:t>
      </w:r>
      <w:r>
        <w:rPr>
          <w:rFonts w:hint="eastAsia" w:ascii="宋体" w:hAnsi="宋体"/>
          <w:b/>
          <w:color w:val="auto"/>
          <w:sz w:val="24"/>
          <w:szCs w:val="28"/>
          <w:highlight w:val="none"/>
          <w:lang w:eastAsia="zh-CN"/>
        </w:rPr>
        <w:t>；</w:t>
      </w:r>
    </w:p>
    <w:p>
      <w:pPr>
        <w:numPr>
          <w:ilvl w:val="0"/>
          <w:numId w:val="6"/>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本项目系统须同时覆盖我院滨海院区，功能与技术要求与本部院区一致。应结合我院实际医疗及管理需要，对系统进行客户化修改，包括但不限于结合医院实际管理需求。</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由于本项目系统需符合国产化要求，不得使用主管部门禁止使用的操作系统及数据库，必须配备正版的国产化操作系统、数据</w:t>
      </w:r>
      <w:r>
        <w:rPr>
          <w:rFonts w:hint="eastAsia" w:ascii="仿宋_GB2312" w:hAnsi="仿宋_GB2312" w:eastAsia="仿宋_GB2312" w:cs="仿宋_GB2312"/>
          <w:color w:val="auto"/>
          <w:sz w:val="32"/>
          <w:szCs w:val="32"/>
          <w:lang w:val="en-US" w:eastAsia="zh-CN"/>
        </w:rPr>
        <w:t>库、中间件及前端国产化工作站。同时本项目验收前须提供有资质的第三方公司开展的密码应用安全性测评、信息技术应用创新符合性测试，并提供相关的证明。暂时未能实现的，后续政策要求时不再另行收费，并在投标文件中出具承诺函。</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本项目系统需符合《信息安全技术网络安全等级保护基本要求》GB/T22239-2019（三级）要求（简称：三级等保2.0）及密码应用安全性评估，并在以上评审中协助完成本系统评审工作。</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同时，乙方须如实向甲方提供数据库管理员的用户名、密码以及相关用户权限信息，不得隐瞒。不得通过任何技术手段限制系统内容，数据表结构不得加密，且必须如实提供给甲方。</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本项目需完成旧系统中的历史数据导入，旧系统中非自动产生的数据（如手工输入值等），在新系统中可不体现或以默认值体现。若有涉及接口费用，由中标方负责，采购人不再向中标人支付接口费用。</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5"/>
        <w:numPr>
          <w:ilvl w:val="0"/>
          <w:numId w:val="7"/>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5"/>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pPr>
        <w:pStyle w:val="11"/>
        <w:widowControl w:val="0"/>
        <w:numPr>
          <w:ilvl w:val="0"/>
          <w:numId w:val="6"/>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8"/>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pStyle w:val="11"/>
        <w:numPr>
          <w:ilvl w:val="0"/>
          <w:numId w:val="0"/>
        </w:numPr>
        <w:wordWrap/>
        <w:spacing w:before="0" w:after="0" w:line="360" w:lineRule="auto"/>
        <w:ind w:left="0" w:leftChars="0" w:right="0"/>
        <w:rPr>
          <w:rFonts w:hint="eastAsia"/>
          <w:lang w:eastAsia="zh-CN"/>
        </w:rPr>
      </w:pP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Quad Arrow 1025" o:spid="_x0000_s4097" o:spt="1" style="position:absolute;left:0pt;margin-top:0pt;height:12.8pt;width:5.3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E2A57"/>
    <w:multiLevelType w:val="singleLevel"/>
    <w:tmpl w:val="A6FE2A57"/>
    <w:lvl w:ilvl="0" w:tentative="0">
      <w:start w:val="1"/>
      <w:numFmt w:val="decimal"/>
      <w:suff w:val="nothing"/>
      <w:lvlText w:val="%1、"/>
      <w:lvlJc w:val="left"/>
    </w:lvl>
  </w:abstractNum>
  <w:abstractNum w:abstractNumId="1">
    <w:nsid w:val="E6F15135"/>
    <w:multiLevelType w:val="singleLevel"/>
    <w:tmpl w:val="E6F15135"/>
    <w:lvl w:ilvl="0" w:tentative="0">
      <w:start w:val="1"/>
      <w:numFmt w:val="decimalEnclosedCircleChinese"/>
      <w:suff w:val="nothing"/>
      <w:lvlText w:val="%1　"/>
      <w:lvlJc w:val="left"/>
      <w:pPr>
        <w:ind w:left="360" w:firstLine="400"/>
      </w:pPr>
      <w:rPr>
        <w:rFonts w:hint="eastAsia"/>
      </w:rPr>
    </w:lvl>
  </w:abstractNum>
  <w:abstractNum w:abstractNumId="2">
    <w:nsid w:val="EF980F8B"/>
    <w:multiLevelType w:val="singleLevel"/>
    <w:tmpl w:val="EF980F8B"/>
    <w:lvl w:ilvl="0" w:tentative="0">
      <w:start w:val="1"/>
      <w:numFmt w:val="decimalEnclosedCircleChinese"/>
      <w:suff w:val="nothing"/>
      <w:lvlText w:val="%1　"/>
      <w:lvlJc w:val="left"/>
      <w:pPr>
        <w:ind w:left="0" w:firstLine="400"/>
      </w:pPr>
      <w:rPr>
        <w:rFonts w:hint="eastAsia"/>
      </w:rPr>
    </w:lvl>
  </w:abstractNum>
  <w:abstractNum w:abstractNumId="3">
    <w:nsid w:val="19327A41"/>
    <w:multiLevelType w:val="singleLevel"/>
    <w:tmpl w:val="19327A41"/>
    <w:lvl w:ilvl="0" w:tentative="0">
      <w:start w:val="1"/>
      <w:numFmt w:val="bullet"/>
      <w:lvlText w:val=""/>
      <w:lvlJc w:val="left"/>
      <w:pPr>
        <w:ind w:left="1050" w:hanging="420"/>
      </w:pPr>
      <w:rPr>
        <w:rFonts w:hint="default" w:ascii="Wingdings" w:hAnsi="Wingdings"/>
      </w:rPr>
    </w:lvl>
  </w:abstractNum>
  <w:abstractNum w:abstractNumId="4">
    <w:nsid w:val="3641C76E"/>
    <w:multiLevelType w:val="singleLevel"/>
    <w:tmpl w:val="3641C76E"/>
    <w:lvl w:ilvl="0" w:tentative="0">
      <w:start w:val="1"/>
      <w:numFmt w:val="decimalEnclosedCircleChinese"/>
      <w:suff w:val="nothing"/>
      <w:lvlText w:val="%1　"/>
      <w:lvlJc w:val="left"/>
      <w:pPr>
        <w:ind w:left="360" w:firstLine="400"/>
      </w:pPr>
      <w:rPr>
        <w:rFonts w:hint="eastAsia"/>
      </w:rPr>
    </w:lvl>
  </w:abstractNum>
  <w:abstractNum w:abstractNumId="5">
    <w:nsid w:val="53551602"/>
    <w:multiLevelType w:val="singleLevel"/>
    <w:tmpl w:val="53551602"/>
    <w:lvl w:ilvl="0" w:tentative="0">
      <w:start w:val="3"/>
      <w:numFmt w:val="chineseCounting"/>
      <w:suff w:val="nothing"/>
      <w:lvlText w:val="%1、"/>
      <w:lvlJc w:val="left"/>
      <w:rPr>
        <w:rFonts w:hint="eastAsia"/>
      </w:rPr>
    </w:lvl>
  </w:abstractNum>
  <w:abstractNum w:abstractNumId="6">
    <w:nsid w:val="67B4397F"/>
    <w:multiLevelType w:val="singleLevel"/>
    <w:tmpl w:val="67B4397F"/>
    <w:lvl w:ilvl="0" w:tentative="0">
      <w:start w:val="1"/>
      <w:numFmt w:val="decimal"/>
      <w:suff w:val="nothing"/>
      <w:lvlText w:val="%1、"/>
      <w:lvlJc w:val="left"/>
    </w:lvl>
  </w:abstractNum>
  <w:abstractNum w:abstractNumId="7">
    <w:nsid w:val="789ACB1A"/>
    <w:multiLevelType w:val="singleLevel"/>
    <w:tmpl w:val="789ACB1A"/>
    <w:lvl w:ilvl="0" w:tentative="0">
      <w:start w:val="1"/>
      <w:numFmt w:val="decimalEnclosedCircleChinese"/>
      <w:suff w:val="nothing"/>
      <w:lvlText w:val="%1　"/>
      <w:lvlJc w:val="left"/>
      <w:pPr>
        <w:ind w:left="360" w:firstLine="400"/>
      </w:pPr>
      <w:rPr>
        <w:rFonts w:hint="eastAsia"/>
      </w:rPr>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RlNzZiNjE1N2NiNDY1MjdjNTllOWUxMWU4Y2ZiZGQifQ=="/>
  </w:docVars>
  <w:rsids>
    <w:rsidRoot w:val="00000000"/>
    <w:rsid w:val="0E92478A"/>
    <w:rsid w:val="36D84652"/>
    <w:rsid w:val="3DE452E3"/>
    <w:rsid w:val="432A28BE"/>
    <w:rsid w:val="6A51544F"/>
    <w:rsid w:val="74863E7B"/>
    <w:rsid w:val="7AFE4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Quote"/>
    <w:basedOn w:val="1"/>
    <w:next w:val="1"/>
    <w:qFormat/>
    <w:uiPriority w:val="29"/>
    <w:pPr>
      <w:spacing w:beforeLines="50" w:afterLines="50" w:line="360" w:lineRule="auto"/>
    </w:pPr>
    <w:rPr>
      <w:i/>
      <w:iCs/>
      <w:color w:val="000000"/>
      <w:lang w:val="zh-CN"/>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4">
    <w:name w:val="List Paragraph"/>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7041</Words>
  <Characters>8071</Characters>
  <Lines>0</Lines>
  <Paragraphs>0</Paragraphs>
  <TotalTime>1</TotalTime>
  <ScaleCrop>false</ScaleCrop>
  <LinksUpToDate>false</LinksUpToDate>
  <CharactersWithSpaces>8240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蓝风</cp:lastModifiedBy>
  <cp:lastPrinted>2023-06-20T07:45:00Z</cp:lastPrinted>
  <dcterms:modified xsi:type="dcterms:W3CDTF">2025-09-19T03:01:13Z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CD1CBFDCF0B34D54A1323A555A4AB815_12</vt:lpwstr>
  </property>
  <property fmtid="{D5CDD505-2E9C-101B-9397-08002B2CF9AE}" pid="4" name="KSOTemplateDocerSaveRecord">
    <vt:lpwstr>eyJoZGlkIjoiMjJkZWIxYTU2ZTk5MmI4NjMyMGVkMjg1NGY0ZDg4NjgiLCJ1c2VySWQiOiIzODY1MjIxMjIifQ==</vt:lpwstr>
  </property>
</Properties>
</file>