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  肿瘤大数据专病库系统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22</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26</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30</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15:00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wordWrap/>
        <w:spacing w:before="0" w:after="0" w:line="360" w:lineRule="auto"/>
        <w:ind w:left="0" w:leftChars="0" w:right="0"/>
        <w:jc w:val="both"/>
        <w:rPr>
          <w:rFonts w:hint="default"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张工、郑工</w:t>
      </w:r>
      <w:bookmarkStart w:id="0" w:name="_GoBack"/>
      <w:bookmarkEnd w:id="0"/>
    </w:p>
    <w:p>
      <w:pPr>
        <w:pStyle w:val="11"/>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3750"/>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125"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750" w:type="dxa"/>
            <w:vAlign w:val="center"/>
          </w:tcPr>
          <w:p>
            <w:pPr>
              <w:widowControl/>
              <w:wordWrap/>
              <w:spacing w:before="0" w:after="0" w:line="360" w:lineRule="auto"/>
              <w:ind w:left="0" w:leftChars="0" w:right="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wordWrap/>
              <w:spacing w:before="0" w:after="0" w:line="360" w:lineRule="auto"/>
              <w:ind w:left="0" w:leftChars="0" w:right="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wordWrap/>
              <w:spacing w:before="0" w:after="0" w:line="360" w:lineRule="auto"/>
              <w:ind w:left="0" w:leftChars="0" w:right="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2125" w:type="dxa"/>
            <w:shd w:val="clear" w:color="auto" w:fill="auto"/>
            <w:vAlign w:val="center"/>
          </w:tcPr>
          <w:p>
            <w:pPr>
              <w:widowControl/>
              <w:wordWrap/>
              <w:spacing w:before="0" w:after="0" w:line="360" w:lineRule="auto"/>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3750" w:type="dxa"/>
            <w:shd w:val="clear" w:color="auto" w:fill="auto"/>
            <w:vAlign w:val="center"/>
          </w:tcPr>
          <w:p>
            <w:pPr>
              <w:widowControl/>
              <w:wordWrap/>
              <w:spacing w:before="0" w:after="0" w:line="360" w:lineRule="auto"/>
              <w:ind w:left="0" w:leftChars="0" w:right="0" w:rightChars="0"/>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肿瘤大数据专病库</w:t>
            </w:r>
            <w:r>
              <w:rPr>
                <w:rFonts w:hint="eastAsia" w:ascii="仿宋_GB2312" w:hAnsi="仿宋_GB2312" w:eastAsia="仿宋_GB2312" w:cs="仿宋_GB2312"/>
                <w:color w:val="000000"/>
                <w:kern w:val="0"/>
                <w:sz w:val="32"/>
                <w:szCs w:val="32"/>
              </w:rPr>
              <w:t>系</w:t>
            </w:r>
            <w:r>
              <w:rPr>
                <w:rFonts w:hint="eastAsia" w:ascii="仿宋_GB2312" w:hAnsi="仿宋_GB2312" w:eastAsia="仿宋_GB2312" w:cs="仿宋_GB2312"/>
                <w:kern w:val="0"/>
                <w:sz w:val="32"/>
                <w:szCs w:val="32"/>
                <w:lang w:val="en-US" w:eastAsia="zh-CN" w:bidi="ar-SA"/>
              </w:rPr>
              <w:t>统</w:t>
            </w:r>
          </w:p>
        </w:tc>
        <w:tc>
          <w:tcPr>
            <w:tcW w:w="1590" w:type="dxa"/>
            <w:shd w:val="clear" w:color="auto" w:fill="auto"/>
            <w:vAlign w:val="center"/>
          </w:tcPr>
          <w:p>
            <w:pPr>
              <w:wordWrap/>
              <w:autoSpaceDN w:val="0"/>
              <w:spacing w:before="0" w:after="0" w:line="360" w:lineRule="auto"/>
              <w:ind w:left="0" w:leftChars="0" w:right="0" w:rightChars="0"/>
              <w:jc w:val="both"/>
              <w:textAlignment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i w:val="0"/>
                <w:color w:val="000000"/>
                <w:sz w:val="32"/>
                <w:szCs w:val="32"/>
                <w:u w:val="none"/>
                <w:lang w:val="en-US" w:eastAsia="zh-CN"/>
              </w:rPr>
              <w:t xml:space="preserve"> 1</w:t>
            </w:r>
          </w:p>
        </w:tc>
        <w:tc>
          <w:tcPr>
            <w:tcW w:w="1894" w:type="dxa"/>
            <w:shd w:val="clear" w:color="auto" w:fill="auto"/>
            <w:vAlign w:val="center"/>
          </w:tcPr>
          <w:p>
            <w:pPr>
              <w:wordWrap/>
              <w:autoSpaceDN w:val="0"/>
              <w:spacing w:before="0" w:after="0" w:line="360" w:lineRule="auto"/>
              <w:ind w:left="0" w:leftChars="0" w:right="0" w:rightChars="0"/>
              <w:jc w:val="both"/>
              <w:textAlignment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i w:val="0"/>
                <w:color w:val="000000"/>
                <w:sz w:val="32"/>
                <w:szCs w:val="32"/>
                <w:u w:val="none"/>
                <w:lang w:val="en-US" w:eastAsia="zh-CN"/>
              </w:rPr>
              <w:t xml:space="preserve"> 150</w:t>
            </w:r>
          </w:p>
        </w:tc>
      </w:tr>
    </w:tbl>
    <w:p>
      <w:pPr>
        <w:rPr>
          <w:rFonts w:hint="eastAsia"/>
          <w:lang w:val="en-US" w:eastAsia="zh-CN"/>
        </w:rPr>
      </w:pPr>
    </w:p>
    <w:p>
      <w:pPr>
        <w:keepNext/>
        <w:widowControl/>
        <w:numPr>
          <w:ilvl w:val="0"/>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1"/>
        <w:numPr>
          <w:ilvl w:val="0"/>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Style w:val="8"/>
        <w:tblW w:w="94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310"/>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7" w:type="dxa"/>
            <w:vAlign w:val="center"/>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2310" w:type="dxa"/>
            <w:vAlign w:val="center"/>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w:t>
            </w:r>
          </w:p>
        </w:tc>
        <w:tc>
          <w:tcPr>
            <w:tcW w:w="5983" w:type="dxa"/>
            <w:vAlign w:val="center"/>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27" w:type="dxa"/>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310" w:type="dxa"/>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sz w:val="28"/>
                <w:szCs w:val="28"/>
                <w:lang w:val="en-US" w:eastAsia="zh-CN"/>
              </w:rPr>
              <w:t>专病/课题库管理</w:t>
            </w:r>
          </w:p>
        </w:tc>
        <w:tc>
          <w:tcPr>
            <w:tcW w:w="5983" w:type="dxa"/>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建设专病数据系统并实现课题全流程管理，涵盖肝癌、宫颈癌、肺癌、结直肠癌、食管癌、胃癌、黑色素瘤、乳腺癌、甲状腺癌、前列腺癌、鼻咽癌、子宫内膜癌专病数据集、课题创建展示、病例研究、数据安全等核心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27" w:type="dxa"/>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310" w:type="dxa"/>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系统界面展示</w:t>
            </w:r>
          </w:p>
        </w:tc>
        <w:tc>
          <w:tcPr>
            <w:tcW w:w="5983" w:type="dxa"/>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支持构建肿瘤AI临床决策支持界面，集成患者数据视图（基本信息/AI结论/循证依据）与类高发癌症智能辅助模块（诊断/分期/评分/治疗推荐），实现从临床数据解析到诊疗方案生成的智能化工作流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AI诊断辅助模型</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支持构建指定肿瘤专病辅助诊断模型，如肝癌通过结构化数据引擎自动提取AFP等关键指标实现可视化追踪，并基于指南动态优化关键因子，经测试模型准确率需达到95%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AI辅助自动分期模型</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支持构建肿瘤专病分期分期模型，包含肝癌（中国分期、BCLC分期、cTNM、pTNM分期）、宫颈癌（FIGO分期）、胃癌（TNM分期）、肺癌（TNM-SCLC、TNM-NSCLC分期）、乳腺癌(TNM分期)、结直肠癌(TNM分期、DUKES分期)、黑色素瘤（TNM分期）、食管癌（TNM分期）、甲状腺癌（TNM分期）、前列腺癌（TNM分期）等；过结构化数据引擎自动提取PS评分等关键指标实现可视化追踪，并基于指南动态优化分期因子，经测试模型准确率需达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AI辅助评分模型</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 xml:space="preserve">支持构建评分模型模型,包含：ECOG-PS评分、CAT评分、卡诺夫斯凯评分、MELD评分、Rockall评分、mMRC评分、GOLD分级-肺功能、Maddrey工具、BMIT具、CCRT具、Blatchford评分系统、Forrest分类、FIB-4T具、NRS2002、APRIT具、PG-SGA、CHILD-PUGH评分、SAAGT具、TGR评分、eCura评分等；过结构化数据引擎自动提取PS评分等关键指标实现可视化追踪，并基于指南动态优化分期因子，经测试模型准确率需达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AI辅助治疗方案推荐</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根据临床指南和专家共识建设肝癌、宫颈癌、胃癌、肺癌、乳腺癌、结直肠癌、黑色素瘤、甲状腺癌、食管癌、前列腺癌、鼻咽癌、子宫内膜癌等特色病种治疗方案推荐模块。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规范肿瘤用药</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支持构建肿瘤精准用药智能质控，依托基因检测实现化疗/靶向/免疫治疗三重动态优化，通过实时剂量监控与疗效反馈闭环调整方案，全流程严格遵循国家卫健委用药指南实现诊疗合规性管控‌。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不良反应监测</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肿瘤治疗智能监测系统通过风险预警、动态追踪和分级干预三大模块，实现从预测到干预的全周期不良反应闭环管理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专病库参数设置</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构建覆盖科研全流程的管理系统，支持多中心协同、智能入组筛选及差异化研究方案配置，实现从课题设计到结题的闭环管控。支持提供课题基础参数配置、研究方案管理、用户中心管理、课题管理等功能。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专题数据可视化</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建设肿瘤数据资源目录，整合免疫治疗、靶向治疗、介入治疗和手术治疗四大专题数据，覆盖基线诊断、治疗史、住院方案及随访检验、疗效评估、不良反应全流程数据维度。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表单管理</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支持建设可视化CRF管理功能，集成表单设计器、智能数据采集引擎与科研数据建模工具，预置肝癌、宫颈癌、肺癌、结直肠癌、食管癌、胃癌、黑色素瘤、乳腺癌、甲状腺癌、前列腺癌、鼻咽癌、子宫内膜癌临床基础研究CRF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病例管理</w:t>
            </w:r>
          </w:p>
        </w:tc>
        <w:tc>
          <w:tcPr>
            <w:tcW w:w="0" w:type="auto"/>
            <w:shd w:val="clear" w:color="auto" w:fill="auto"/>
            <w:vAlign w:val="center"/>
          </w:tcPr>
          <w:p>
            <w:pPr>
              <w:widowControl/>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D0D0D"/>
                <w:kern w:val="0"/>
                <w:sz w:val="28"/>
                <w:szCs w:val="28"/>
              </w:rPr>
              <w:t>支持构建全流程病例管理系统，支持多种入组模式（手动入组/自动入组等）、动态表单录入与智能数据校验（必填项/逻辑规则/OCR识别），实现从患者入组到质疑管理的临床研究闭环。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数据检索</w:t>
            </w:r>
          </w:p>
        </w:tc>
        <w:tc>
          <w:tcPr>
            <w:tcW w:w="0" w:type="auto"/>
            <w:shd w:val="clear" w:color="auto" w:fill="auto"/>
            <w:vAlign w:val="center"/>
          </w:tcPr>
          <w:p>
            <w:pPr>
              <w:widowControl/>
              <w:rPr>
                <w:rFonts w:hint="eastAsia" w:ascii="仿宋_GB2312" w:hAnsi="仿宋_GB2312" w:eastAsia="仿宋_GB2312" w:cs="仿宋_GB2312"/>
                <w:color w:val="0D0D0D"/>
                <w:kern w:val="0"/>
                <w:sz w:val="28"/>
                <w:szCs w:val="28"/>
                <w:lang w:val="en-US" w:eastAsia="zh-CN" w:bidi="ar-SA"/>
              </w:rPr>
            </w:pPr>
            <w:r>
              <w:rPr>
                <w:rFonts w:hint="eastAsia" w:ascii="仿宋_GB2312" w:hAnsi="仿宋_GB2312" w:eastAsia="仿宋_GB2312" w:cs="仿宋_GB2312"/>
                <w:color w:val="000000"/>
                <w:kern w:val="0"/>
                <w:sz w:val="28"/>
                <w:szCs w:val="28"/>
              </w:rPr>
              <w:t>构建肿瘤专病智能检索系统，集成多维度表单数据项检索（支持逻辑组配）、本体化主题词表（含肿瘤标准概念层级关系）与科研数据导出功能，实现从复杂条件筛选到分析导出的临床研究闭环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数据分析</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支持科研数据分析功能，集成描述性统计（柱状图/散点图等可视化）、生存分析（KM曲线）与相关性计算，支持从分析创建到报告生成的科研全流程自动化。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数据导出</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支持构建智能病例数据导出，支持Excel/SPSS/SAS多格式兼容导出（含匿名化处理）、模板化规则保存，集成历史追溯与审核机制，实现从数据筛选到安全导出的全流程管控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数据安全</w:t>
            </w:r>
          </w:p>
        </w:tc>
        <w:tc>
          <w:tcPr>
            <w:tcW w:w="0" w:type="auto"/>
            <w:shd w:val="clear" w:color="auto" w:fill="auto"/>
            <w:vAlign w:val="center"/>
          </w:tcPr>
          <w:p>
            <w:pPr>
              <w:widowControl/>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构建数据备份管理系统，集成手动/自动双模式备份（支持数据库存储）、备份日志记录及操作日志审计功能，实现从数据保护到行为追溯的全周期安全管控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表单库管理</w:t>
            </w:r>
          </w:p>
        </w:tc>
        <w:tc>
          <w:tcPr>
            <w:tcW w:w="0" w:type="auto"/>
            <w:shd w:val="clear" w:color="auto" w:fill="auto"/>
            <w:vAlign w:val="center"/>
          </w:tcPr>
          <w:p>
            <w:pPr>
              <w:widowControl/>
              <w:jc w:val="left"/>
              <w:rPr>
                <w:rFonts w:hint="eastAsia" w:ascii="仿宋_GB2312" w:hAnsi="仿宋_GB2312" w:eastAsia="仿宋_GB2312" w:cs="仿宋_GB2312"/>
                <w:color w:val="0D0D0D"/>
                <w:kern w:val="0"/>
                <w:sz w:val="28"/>
                <w:szCs w:val="28"/>
                <w:lang w:val="en-US" w:eastAsia="zh-CN" w:bidi="ar-SA"/>
              </w:rPr>
            </w:pPr>
            <w:r>
              <w:rPr>
                <w:rFonts w:hint="eastAsia" w:ascii="仿宋_GB2312" w:hAnsi="仿宋_GB2312" w:eastAsia="仿宋_GB2312" w:cs="仿宋_GB2312"/>
                <w:color w:val="0D0D0D"/>
                <w:kern w:val="0"/>
                <w:sz w:val="28"/>
                <w:szCs w:val="28"/>
              </w:rPr>
              <w:t>构建肿瘤专科表单管理系统，集成表单库全生命周期管理（浏览/修改）、Excel数据导入、通用数据项维护及10类癌症CRF模板库，实现从模板调用到数据采集的科研表单一体化解决方案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0" w:type="auto"/>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通用数据项管理</w:t>
            </w:r>
          </w:p>
        </w:tc>
        <w:tc>
          <w:tcPr>
            <w:tcW w:w="0" w:type="auto"/>
            <w:shd w:val="clear" w:color="auto" w:fill="auto"/>
            <w:vAlign w:val="center"/>
          </w:tcPr>
          <w:p>
            <w:pPr>
              <w:widowControl/>
              <w:jc w:val="both"/>
              <w:rPr>
                <w:rFonts w:hint="eastAsia" w:ascii="仿宋_GB2312" w:hAnsi="仿宋_GB2312" w:eastAsia="仿宋_GB2312" w:cs="仿宋_GB2312"/>
                <w:color w:val="0D0D0D"/>
                <w:kern w:val="0"/>
                <w:sz w:val="28"/>
                <w:szCs w:val="28"/>
                <w:lang w:val="en-US" w:eastAsia="zh-CN" w:bidi="ar-SA"/>
              </w:rPr>
            </w:pPr>
            <w:r>
              <w:rPr>
                <w:rFonts w:hint="eastAsia" w:ascii="仿宋_GB2312" w:hAnsi="仿宋_GB2312" w:eastAsia="仿宋_GB2312" w:cs="仿宋_GB2312"/>
                <w:color w:val="000000"/>
                <w:kern w:val="0"/>
                <w:sz w:val="28"/>
                <w:szCs w:val="28"/>
              </w:rPr>
              <w:t>构建科研数据项管理系统，实现通用数据项组元数据展示（含组名/描述/数据项数/创建时间）与可视化组别创建功能（支持名称/描述初始化配置），满足医学研究数据标准化管理需求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27" w:type="dxa"/>
            <w:vAlign w:val="top"/>
          </w:tcPr>
          <w:p>
            <w:pPr>
              <w:wordWrap/>
              <w:spacing w:before="0" w:after="0" w:line="360" w:lineRule="auto"/>
              <w:ind w:left="0" w:leftChars="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2310" w:type="dxa"/>
            <w:shd w:val="clear" w:color="auto" w:fill="auto"/>
            <w:vAlign w:val="top"/>
          </w:tcPr>
          <w:p>
            <w:pPr>
              <w:widowControl/>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消息中心</w:t>
            </w:r>
          </w:p>
        </w:tc>
        <w:tc>
          <w:tcPr>
            <w:tcW w:w="5983" w:type="dxa"/>
            <w:shd w:val="clear" w:color="auto" w:fill="auto"/>
            <w:vAlign w:val="center"/>
          </w:tcPr>
          <w:p>
            <w:pPr>
              <w:widowControl/>
              <w:jc w:val="both"/>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1.提供消息查看功能，包含系统消息、课题消息、质疑消息、随访消息；2.提供消息发布功能，课题或者系统管理员可发布消息；3.提供随访通知跳转功能。</w:t>
            </w:r>
          </w:p>
        </w:tc>
      </w:tr>
    </w:tbl>
    <w:p>
      <w:pPr>
        <w:numPr>
          <w:ilvl w:val="0"/>
          <w:numId w:val="0"/>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p>
    <w:p>
      <w:pPr>
        <w:numPr>
          <w:ilvl w:val="0"/>
          <w:numId w:val="1"/>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1、本项目系统须同时覆盖我院滨海院区，功能与技术要求与本部院区一致。应结合我院实际医疗及管理需要，对系统进行客户化修改，包括但不限于结合医院实际管理需求。</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由于本项目系统需符合国产化要求，不得使用主管部门禁止使用的操作系统及数据库，必须配备正版的国产化操作系统、数据库、中间件及前端国产化工作站。同时本项目验收前按政策或是按院方需要提供有资质的第三方公司开展的密码应用安全性测评、信息技术应用创新符合性测试，并提供相关的证明。暂时未能实现的，后续政策要求时不再另行收费，并在投标文件中出具承诺函。</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3、本项目系统需符合《信息安全技术网络安全等级保护基本要求》GB/T22239-2019（三级）要求（简称：三级等保2.0）及密码应用安全性评估，并在以上评审中协助完成本系统评审工作。</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三年内免费实施政策性国家、省市各平台的数据接口、数据上传等服务及免费实施国密改造、国产化改造，包括但不限于：福建省卫健委居民健康综合服务平台、福建省三医一网数据上报平台、福建省检查检验结果互联互通互认平台、福建省卫健委多码融合项目等，产生相应指标，推送至医疗平台接口中（涉及其他系统，应与其他系统配合实施）。</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5、本项目系统应提供与医院HIS，电子病历、危急值平台、报告平台、麻醉耗材、患者360（含HIS360、CDR360）等系统无缝集成接口，符合电子病历6级、医院的互联互通5级、智慧医院4级的建设要求。</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6、本项目为交钥匙工程，本项目系统与各业务系统及设备的数据接口由中标人自行负责。本项目涉及院内现有各业务系统接口的，采购人不再向中标人支付接口费用。</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8、根据国家《医院信息系统功能规范》第十二条以及国家信息化建设审计要求，必须提供完整的总体设计报告、需求分析说明书、上线测试报告、操作使用手册、系统维护手册等。</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本项目系统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11、与医院现有CA数字签名功能实现对接，满足医院各法规需要。</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12、本项目系统若需接入医院APP(实现院外移动端查询)，则中标人应提供H5接口，并支付相应接口费用（不超过3万元），是否需接入医院APP以项目验收时采购人需求为准。</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在本项目系统软件使用及维保有效期内，本项目软件在每个使用科室使用的终端数量不受限制，数据不得加密，不得使用加密狗、打印加密、功能加密等任何软件使用约束。同时，乙方须如实向甲方提供数据库管理员的用户名、密码以及相关用户权限信息，不得隐瞒。不得通过任何技术手段限制系统内容，数据表结构不得加密，且必须如实提供给甲方。</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14、本项目软件部分按总价进行报价，不能以安装工作站数量进行报价。</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15、本项目需完成旧系统中的历史数据导入，旧系统中非自动产生的数据（如手工输入值等），在新系统中可不体现或以默认值体现。若有涉及接口费用，由中标方负责，采购人不再向中标人支付接口费用。</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16、本项目软件版面色彩、风格等应按医院要求设计制作；软件标题只能出现医院logo及系统名称，不能出现公司名称，公司名称允许在帮助（help）的关于（about）中出现。具体版面另行通知。</w:t>
      </w:r>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17、本项目系统安装调试并经验收合格后，应对采购方的相关人员提供关于系统应用时技术和操作方面的培训。相关培训费用应包含在投标总价中。</w:t>
      </w:r>
    </w:p>
    <w:p>
      <w:pPr>
        <w:pStyle w:val="11"/>
        <w:widowControl w:val="0"/>
        <w:numPr>
          <w:ilvl w:val="0"/>
          <w:numId w:val="1"/>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2"/>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提供设备彩页、相关三证等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pPr>
        <w:pStyle w:val="11"/>
        <w:numPr>
          <w:ilvl w:val="0"/>
          <w:numId w:val="0"/>
        </w:numPr>
        <w:wordWrap/>
        <w:spacing w:before="0" w:after="0" w:line="360" w:lineRule="auto"/>
        <w:ind w:left="0" w:leftChars="0" w:right="0"/>
        <w:rPr>
          <w:rFonts w:hint="eastAsia"/>
          <w:lang w:eastAsia="zh-CN"/>
        </w:rPr>
      </w:pP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1"/>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7B4397F"/>
    <w:multiLevelType w:val="singleLevel"/>
    <w:tmpl w:val="67B4397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12575356"/>
    <w:rsid w:val="1ED776FF"/>
    <w:rsid w:val="29187B00"/>
    <w:rsid w:val="34DD5CCB"/>
    <w:rsid w:val="48CA3D62"/>
    <w:rsid w:val="79F5FD61"/>
    <w:rsid w:val="F6BF07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rPr>
      <w:rFonts w:ascii="仿宋_GB2312" w:eastAsia="仿宋_GB2312"/>
      <w:sz w:val="32"/>
    </w:rPr>
  </w:style>
  <w:style w:type="paragraph" w:customStyle="1" w:styleId="5">
    <w:name w:val="Quote"/>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4363</Words>
  <Characters>4762</Characters>
  <Lines>0</Lines>
  <Paragraphs>0</Paragraphs>
  <TotalTime>16</TotalTime>
  <ScaleCrop>false</ScaleCrop>
  <LinksUpToDate>false</LinksUpToDate>
  <CharactersWithSpaces>4903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2023-05-30T14:42:00Z</dcterms:created>
  <dc:creator>Admin</dc:creator>
  <cp:lastModifiedBy>蓝风</cp:lastModifiedBy>
  <cp:lastPrinted>2023-06-20T15:45:00Z</cp:lastPrinted>
  <dcterms:modified xsi:type="dcterms:W3CDTF">2025-09-19T02:46:53Z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D0E368141A7683A99429AC6873B7151D_43</vt:lpwstr>
  </property>
</Properties>
</file>