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w:t>
      </w:r>
      <w:r>
        <w:rPr>
          <w:rFonts w:hint="eastAsia" w:ascii="方正小标宋简体" w:hAnsi="方正小标宋简体" w:eastAsia="方正小标宋简体" w:cs="方正小标宋简体"/>
          <w:b w:val="0"/>
          <w:kern w:val="2"/>
          <w:szCs w:val="44"/>
          <w:lang w:val="en-US" w:eastAsia="zh-CN"/>
        </w:rPr>
        <w:t>采购</w:t>
      </w:r>
      <w:r>
        <w:rPr>
          <w:rFonts w:hint="eastAsia" w:ascii="方正小标宋简体" w:hAnsi="方正小标宋简体" w:eastAsia="方正小标宋简体" w:cs="方正小标宋简体"/>
          <w:b w:val="0"/>
          <w:kern w:val="2"/>
          <w:szCs w:val="44"/>
        </w:rPr>
        <w:t>调研公告</w:t>
      </w:r>
    </w:p>
    <w:p>
      <w:pPr>
        <w:widowControl/>
        <w:shd w:val="clear" w:color="auto" w:fill="FFFFFF"/>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9"/>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项目名称：  </w:t>
            </w:r>
            <w:r>
              <w:rPr>
                <w:rFonts w:hint="eastAsia" w:ascii="仿宋_GB2312" w:hAnsi="仿宋_GB2312" w:eastAsia="仿宋_GB2312" w:cs="仿宋_GB2312"/>
                <w:color w:val="000000"/>
                <w:kern w:val="0"/>
                <w:sz w:val="32"/>
                <w:szCs w:val="32"/>
                <w:lang w:val="en-US" w:eastAsia="zh-CN"/>
              </w:rPr>
              <w:t>检查预约平台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调研报名时间： 2025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u w:val="single"/>
                <w:lang w:val="en-US" w:eastAsia="zh-CN"/>
              </w:rPr>
              <w:t>9</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lang w:val="en-US" w:eastAsia="zh-CN"/>
              </w:rPr>
              <w:t>22</w:t>
            </w:r>
            <w:r>
              <w:rPr>
                <w:rFonts w:hint="eastAsia" w:ascii="仿宋_GB2312" w:hAnsi="仿宋_GB2312" w:eastAsia="仿宋_GB2312" w:cs="仿宋_GB2312"/>
                <w:color w:val="000000"/>
                <w:kern w:val="0"/>
                <w:sz w:val="32"/>
                <w:szCs w:val="32"/>
                <w:highlight w:val="none"/>
              </w:rPr>
              <w:t xml:space="preserve">日至 </w:t>
            </w:r>
            <w:r>
              <w:rPr>
                <w:rFonts w:hint="eastAsia" w:ascii="仿宋_GB2312" w:hAnsi="仿宋_GB2312" w:eastAsia="仿宋_GB2312" w:cs="仿宋_GB2312"/>
                <w:color w:val="000000"/>
                <w:kern w:val="0"/>
                <w:sz w:val="32"/>
                <w:szCs w:val="32"/>
                <w:highlight w:val="none"/>
                <w:u w:val="single"/>
                <w:lang w:val="en-US" w:eastAsia="zh-CN"/>
              </w:rPr>
              <w:t>9</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lang w:val="en-US" w:eastAsia="zh-CN"/>
              </w:rPr>
              <w:t>26</w:t>
            </w:r>
            <w:r>
              <w:rPr>
                <w:rFonts w:hint="eastAsia" w:ascii="仿宋_GB2312" w:hAnsi="仿宋_GB2312" w:eastAsia="仿宋_GB2312" w:cs="仿宋_GB2312"/>
                <w:color w:val="000000"/>
                <w:kern w:val="0"/>
                <w:sz w:val="32"/>
                <w:szCs w:val="32"/>
                <w:highlight w:val="none"/>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(节假日除外)8：00-12：00或14：30-17：30(北京时间）</w:t>
            </w:r>
          </w:p>
          <w:p>
            <w:pPr>
              <w:widowControl/>
              <w:spacing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highlight w:val="none"/>
                <w:u w:val="single"/>
                <w:lang w:val="en-US" w:eastAsia="zh-CN"/>
              </w:rPr>
              <w:t>30</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投标文件递交处：福建省肿瘤医院网络技术中心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高</w:t>
      </w:r>
      <w:r>
        <w:rPr>
          <w:rFonts w:hint="eastAsia" w:ascii="仿宋_GB2312" w:hAnsi="仿宋_GB2312" w:eastAsia="仿宋_GB2312" w:cs="仿宋_GB2312"/>
          <w:bCs/>
          <w:color w:val="000000"/>
          <w:kern w:val="0"/>
          <w:sz w:val="32"/>
          <w:szCs w:val="32"/>
          <w:shd w:val="clear" w:color="auto" w:fill="FFFFFF"/>
        </w:rPr>
        <w:t>工、郑工</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9"/>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977"/>
        <w:gridCol w:w="1842"/>
        <w:gridCol w:w="3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exact"/>
        </w:trPr>
        <w:tc>
          <w:tcPr>
            <w:tcW w:w="1413"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2977"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842"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3127" w:type="dxa"/>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exact"/>
        </w:trPr>
        <w:tc>
          <w:tcPr>
            <w:tcW w:w="1413" w:type="dxa"/>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2977" w:type="dxa"/>
            <w:vAlign w:val="center"/>
          </w:tcPr>
          <w:p>
            <w:pPr>
              <w:widowControl/>
              <w:spacing w:line="360" w:lineRule="auto"/>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kern w:val="0"/>
                <w:sz w:val="32"/>
                <w:szCs w:val="32"/>
                <w:lang w:val="en-US" w:eastAsia="zh-CN"/>
              </w:rPr>
              <w:t>检查预约平台</w:t>
            </w:r>
          </w:p>
        </w:tc>
        <w:tc>
          <w:tcPr>
            <w:tcW w:w="1842" w:type="dxa"/>
            <w:vAlign w:val="center"/>
          </w:tcPr>
          <w:p>
            <w:pPr>
              <w:autoSpaceDN w:val="0"/>
              <w:spacing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1套</w:t>
            </w:r>
          </w:p>
        </w:tc>
        <w:tc>
          <w:tcPr>
            <w:tcW w:w="3127" w:type="dxa"/>
            <w:vAlign w:val="center"/>
          </w:tcPr>
          <w:p>
            <w:pPr>
              <w:autoSpaceDN w:val="0"/>
              <w:spacing w:line="360" w:lineRule="auto"/>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lang w:val="en-US" w:eastAsia="zh-CN"/>
              </w:rPr>
              <w:t>100</w:t>
            </w:r>
          </w:p>
        </w:tc>
      </w:tr>
    </w:tbl>
    <w:p/>
    <w:p>
      <w:pPr>
        <w:keepNext/>
        <w:widowControl/>
        <w:shd w:val="clear" w:color="auto" w:fill="FFFFFF"/>
        <w:autoSpaceDE w:val="0"/>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9"/>
        <w:tblW w:w="9026" w:type="dxa"/>
        <w:tblInd w:w="0" w:type="dxa"/>
        <w:tblLayout w:type="autofit"/>
        <w:tblCellMar>
          <w:top w:w="0" w:type="dxa"/>
          <w:left w:w="108" w:type="dxa"/>
          <w:bottom w:w="0" w:type="dxa"/>
          <w:right w:w="108" w:type="dxa"/>
        </w:tblCellMar>
      </w:tblPr>
      <w:tblGrid>
        <w:gridCol w:w="846"/>
        <w:gridCol w:w="1276"/>
        <w:gridCol w:w="6904"/>
      </w:tblGrid>
      <w:tr>
        <w:tblPrEx>
          <w:tblCellMar>
            <w:top w:w="0" w:type="dxa"/>
            <w:left w:w="108" w:type="dxa"/>
            <w:bottom w:w="0" w:type="dxa"/>
            <w:right w:w="108" w:type="dxa"/>
          </w:tblCellMar>
        </w:tblPrEx>
        <w:trPr>
          <w:trHeight w:val="78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项目</w:t>
            </w:r>
          </w:p>
        </w:tc>
        <w:tc>
          <w:tcPr>
            <w:tcW w:w="6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技术参数要求</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预约规则引擎</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能够提供系统所有的接口服务、数据交换服务、规则的输入、运算及输出服务。能够接收规则运算的各类参数，包括性别、年龄、身高、体重等患者基本信息参数以及来源、优先级别、项目类别、项目、部位、申请医生、申请科室/病区、检查目的等检查信息参数，通过参数之间的关联、互斥、依赖等关系的运算，结合设备的使用情况，最终输出患者各个检查推荐的预约方案。</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支持患者属性运算、检查项目运算、体征信息运算、合单拆单规则运算；</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支持按申请单数量或检查项目时长系数双模式放号；</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自助机预约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给患者提供自助预约、报到和候诊信息查询服务，是对院内人工窗口预约服务的延伸与补充，减轻窗口压力及避免人群积压在前台产生的医患关系。此模块支持独立运行在自助机上提供服务，也可以实现接口对接与自助机现有应用进行无缝整合。</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支持展示预约须知、检前注意事项提醒；</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支持一键预约所有检查项目（无需人工研判的检查项目）；</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支持多类别检查项目时，患者将所有项目预约至同天检查，或将所有项目按照最快可完成检查的计划一键预约；</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支持控制每一台自助机的预约功能模块；</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微信公众号预约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能够基于标准接口与医院现有移动终端如医院APP、微信、支付宝等渠道进行无缝融合，是对院内人工窗口向院外延伸的服务，方便患者在家、在单位、在路上即可完成预约、改约操作，以及现场报到和候诊信息查询操作。</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支持申请单智能合并；</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支持患者报到时的所在定位检测，到医院指定范围（如医院为中心半径500米）后实现一键报到；</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支持一键预约所有检查项目（无需人工研判的检查项目）；</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支持多类别检查项目时，患者将所有项目预约至同天检查，或将所有项目按照最快可完成检查的计划一键预约；</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门诊医生工作站预约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与收费系统进行对接，提供给门诊医生在开出检查申请单后，医生可根据患者的个体情况、预约队列的预约情况协助患者在未缴费时先完成预约。支持与门诊医生系统的无缝对接，开完申请单后自动弹出预约界面给医生做预约操作。</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支持门诊医生先预约，患者后结算模式，可设置患者在规定时间内未完成结算自动释放已预约号源；</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支持患者先结算后预约模式；</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支持根据申请单自动推荐检查方案、自动计算最适合的预约队列；</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支持基于推荐检查方案的一键确认预约</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住院医生工作站预约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提供给住院医生下医嘱后，医生或护士可根据患者的个体情况、预约队列的预约情况协助患者完成预约。支持与住院护士工作站的无缝对接，实现审核医嘱后对患者进行批量预约操作；</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支持患者运送工具的选择；</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6</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服务中心预约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提供给医院预约服务中心、电话服务中心工作者的预约模块，工作者可根据患者的个人体症、预约队列的预约情况，以及电话预约信息或申请单信息，协助患者完成预约。</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支持绿色通道、VIP患者的特殊预约流程；</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支持无痛胃肠、增强类项目的前置预约审核；</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7</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医技前台预约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提供给医技科室前台护士的预约模块，操作者可根据患者的个人体症、预约队列的预约情况协助患者完成预约。</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支持患者黑名单管理，根据医院管理需要设置触发规则，自动屏蔽预约渠道，保留人工预约渠道；</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lang w:val="en-US" w:eastAsia="zh-CN" w:bidi="ar-SA"/>
              </w:rPr>
            </w:pPr>
            <w:r>
              <w:rPr>
                <w:rFonts w:hint="eastAsia" w:ascii="仿宋_GB2312" w:hAnsi="等线" w:eastAsia="仿宋_GB2312" w:cs="宋体"/>
                <w:color w:val="000000"/>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_GB2312" w:hAnsi="等线" w:eastAsia="仿宋_GB2312" w:cs="宋体"/>
                <w:color w:val="000000"/>
                <w:kern w:val="0"/>
                <w:sz w:val="22"/>
                <w:szCs w:val="22"/>
                <w:lang w:val="en-US" w:eastAsia="zh-CN"/>
              </w:rPr>
            </w:pPr>
            <w:r>
              <w:rPr>
                <w:rFonts w:hint="eastAsia" w:ascii="仿宋_GB2312" w:hAnsi="等线" w:eastAsia="仿宋_GB2312" w:cs="宋体"/>
                <w:color w:val="000000"/>
                <w:kern w:val="0"/>
                <w:sz w:val="22"/>
                <w:szCs w:val="22"/>
                <w:lang w:val="en-US" w:eastAsia="zh-CN"/>
              </w:rPr>
              <w:t>互联网医院预约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复诊患者可通过互联网医院平台（如微信公众号、APP）发起在线问诊，医生根据病情开具检查单（如CT、超声、心电图等），患者线上缴费后即可自主选择检查时间，无需现场排队预约。</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lang w:val="en-US" w:eastAsia="zh-CN" w:bidi="ar-SA"/>
              </w:rPr>
            </w:pPr>
            <w:r>
              <w:rPr>
                <w:rFonts w:hint="eastAsia" w:ascii="仿宋_GB2312" w:hAnsi="等线" w:eastAsia="仿宋_GB2312" w:cs="宋体"/>
                <w:color w:val="000000"/>
                <w:kern w:val="0"/>
                <w:sz w:val="22"/>
                <w:szCs w:val="22"/>
              </w:rPr>
              <w:t>9</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护工浏览</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用于护工在运送患者的日常工作中，将需要做检查的患者按要求让患者准备，并完成运送的患者。</w:t>
            </w:r>
          </w:p>
        </w:tc>
      </w:tr>
      <w:tr>
        <w:tblPrEx>
          <w:tblCellMar>
            <w:top w:w="0" w:type="dxa"/>
            <w:left w:w="108" w:type="dxa"/>
            <w:bottom w:w="0" w:type="dxa"/>
            <w:right w:w="108" w:type="dxa"/>
          </w:tblCellMar>
        </w:tblPrEx>
        <w:trPr>
          <w:trHeight w:val="28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_GB2312" w:hAnsi="等线" w:eastAsia="仿宋_GB2312" w:cs="宋体"/>
                <w:color w:val="000000"/>
                <w:kern w:val="0"/>
                <w:sz w:val="22"/>
                <w:szCs w:val="22"/>
                <w:lang w:val="en-US" w:eastAsia="zh-CN"/>
              </w:rPr>
            </w:pPr>
            <w:r>
              <w:rPr>
                <w:rFonts w:hint="eastAsia" w:ascii="仿宋_GB2312" w:hAnsi="等线" w:eastAsia="仿宋_GB2312" w:cs="宋体"/>
                <w:color w:val="000000"/>
                <w:kern w:val="0"/>
                <w:sz w:val="22"/>
                <w:szCs w:val="22"/>
                <w:lang w:val="en-US" w:eastAsia="zh-CN"/>
              </w:rPr>
              <w:t>10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预约管理工作站</w:t>
            </w:r>
          </w:p>
        </w:tc>
        <w:tc>
          <w:tcPr>
            <w:tcW w:w="69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对系统进行管理的模块，用于科室日常对预约规则的维护，检查情况的时实监控和对号源、检查量的控制，以及对患者预约信息的查阅跟踪等。</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支持预约队列管理、规则管理、检查项目管理、检查号源管理、人员管理、统计管理等。</w:t>
            </w:r>
          </w:p>
        </w:tc>
      </w:tr>
      <w:tr>
        <w:tblPrEx>
          <w:tblCellMar>
            <w:top w:w="0" w:type="dxa"/>
            <w:left w:w="108" w:type="dxa"/>
            <w:bottom w:w="0" w:type="dxa"/>
            <w:right w:w="108" w:type="dxa"/>
          </w:tblCellMar>
        </w:tblPrEx>
        <w:trPr>
          <w:trHeight w:val="28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_GB2312" w:hAnsi="等线" w:eastAsia="仿宋_GB2312" w:cs="宋体"/>
                <w:color w:val="000000"/>
                <w:kern w:val="0"/>
                <w:sz w:val="22"/>
                <w:szCs w:val="22"/>
                <w:lang w:val="en-US" w:eastAsia="zh-CN"/>
              </w:rPr>
            </w:pPr>
            <w:r>
              <w:rPr>
                <w:rFonts w:hint="eastAsia" w:ascii="仿宋_GB2312" w:hAnsi="等线" w:eastAsia="仿宋_GB2312" w:cs="宋体"/>
                <w:color w:val="000000"/>
                <w:kern w:val="0"/>
                <w:sz w:val="22"/>
                <w:szCs w:val="22"/>
                <w:lang w:val="en-US" w:eastAsia="zh-CN"/>
              </w:rPr>
              <w:t>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_GB2312" w:hAnsi="等线" w:eastAsia="仿宋_GB2312" w:cs="宋体"/>
                <w:color w:val="000000"/>
                <w:kern w:val="0"/>
                <w:sz w:val="22"/>
                <w:szCs w:val="22"/>
                <w:lang w:val="en-US" w:eastAsia="zh-CN"/>
              </w:rPr>
            </w:pPr>
            <w:r>
              <w:rPr>
                <w:rFonts w:hint="eastAsia" w:ascii="仿宋_GB2312" w:hAnsi="等线" w:eastAsia="仿宋_GB2312" w:cs="宋体"/>
                <w:color w:val="000000"/>
                <w:kern w:val="0"/>
                <w:sz w:val="22"/>
                <w:szCs w:val="22"/>
                <w:lang w:val="en-US" w:eastAsia="zh-CN"/>
              </w:rPr>
              <w:t>号源管理</w:t>
            </w:r>
          </w:p>
        </w:tc>
        <w:tc>
          <w:tcPr>
            <w:tcW w:w="69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lang w:eastAsia="zh-CN"/>
              </w:rPr>
            </w:pPr>
            <w:bookmarkStart w:id="0" w:name="OLE_LINK2"/>
            <w:r>
              <w:rPr>
                <w:rFonts w:hint="eastAsia" w:ascii="仿宋_GB2312" w:hAnsi="等线" w:eastAsia="仿宋_GB2312" w:cs="宋体"/>
                <w:color w:val="000000"/>
                <w:kern w:val="0"/>
                <w:sz w:val="22"/>
                <w:szCs w:val="22"/>
              </w:rPr>
              <w:t>能够提供灵活的规则创建号源模板及排班。可根据检查申请单来源、申请医生、申请科室、患者类别等信息来定义号源模板号源号的归属</w:t>
            </w:r>
            <w:r>
              <w:rPr>
                <w:rFonts w:hint="eastAsia" w:ascii="仿宋_GB2312" w:hAnsi="等线" w:eastAsia="仿宋_GB2312" w:cs="宋体"/>
                <w:color w:val="000000"/>
                <w:kern w:val="0"/>
                <w:sz w:val="22"/>
                <w:szCs w:val="22"/>
                <w:lang w:eastAsia="zh-CN"/>
              </w:rPr>
              <w:t>。</w:t>
            </w:r>
            <w:bookmarkEnd w:id="0"/>
            <w:r>
              <w:rPr>
                <w:rFonts w:hint="eastAsia" w:ascii="仿宋_GB2312" w:hAnsi="等线" w:eastAsia="仿宋_GB2312" w:cs="宋体"/>
                <w:color w:val="000000"/>
                <w:kern w:val="0"/>
                <w:sz w:val="22"/>
                <w:szCs w:val="22"/>
                <w:lang w:eastAsia="zh-CN"/>
              </w:rPr>
              <w:t>通过不同的参数来检索展示号源使用情况</w:t>
            </w:r>
          </w:p>
        </w:tc>
      </w:tr>
    </w:tbl>
    <w:p>
      <w:pPr>
        <w:numPr>
          <w:ilvl w:val="0"/>
          <w:numId w:val="1"/>
        </w:numPr>
        <w:wordWrap/>
        <w:spacing w:before="0" w:after="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其他要求</w:t>
      </w:r>
    </w:p>
    <w:p>
      <w:pPr>
        <w:numPr>
          <w:ilvl w:val="0"/>
          <w:numId w:val="0"/>
        </w:numPr>
        <w:wordWrap/>
        <w:spacing w:before="0" w:after="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1、本项目系统须同时覆盖我院滨海院区，功能与技术要求与本部院区一致。应结合我院实际医疗及管理需要，对系统进行客户化修改，包括但不限于结合医院实际管理需求。</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由于本项目系统需符合国产化要求，不得使用主管部门禁止使用的操作系统及数据库，必须配备正版的国产化操作系统、数据库、中间件及前端国产化工作站。同时本项目验收前按政策或是按院方需要提供有资质的第三方公司开展的密码应用安全性测评、信息技术应用创新符合性测试，并提供相关的证明。暂时未能实现的，后续政策要求时不再另行收费，并在投标文件中出具承诺函。</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3、本项目系统需符合《信息安全技术网络安全等级保护基本要求》GB/T22239-2019（三级）要求（简称：三级等保2.0）及密码应用安全性评估，并在以上评审中协助完成本系统评审工作。</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三年内免费实施政策性国家、省市各平台的数据接口、数据上传等服务及免费实施国密改造、国产化改造，包括但不限于：福建省卫健委居民健康综合服务平台、福建省三医一网数据上报平台、福建省检查检验结果互联互通互认平台、福建省卫健委多码融合项目等，产生相应指标，推送至医疗平台接口中（涉及其他系统，应与其他系统配合实施）。</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5、本项目系统应提供与医院HIS，电子病历、危急值平台、报告平台、麻醉耗材、患者360（含HIS360、CDR360）等系统无缝集成接口，符合电子病历6级、医院的互联互通5级、智慧医院4级的建设要求。</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6、本项目为交钥匙工程，本项目系统与各业务系统及设备的数据接口由中标人自行负责。本项目涉及院内现有各业务系统接口的，采购人不再向中标人支付接口费用。</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8、根据国家《医院信息系统功能规范》第十二条以及国家信息化建设审计要求，必须提供完整的总体设计报告、需求分析说明书、上线测试报告、操作使用手册、系统维护手册等。</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11、与医院现有CA数字签名功能实现对接，满足医院各法规需要。</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12、本项目系统若需接入医院APP(实现院外移动端查询)，则中标人应提供H5接口，并支付相应接口费用（不超过3万元），是否需接入医院APP以项目验收时采购人需求为准。</w:t>
      </w:r>
    </w:p>
    <w:p>
      <w:pPr>
        <w:pStyle w:val="14"/>
        <w:numPr>
          <w:ilvl w:val="0"/>
          <w:numId w:val="0"/>
        </w:numPr>
        <w:wordWrap/>
        <w:spacing w:before="0" w:beforeAutospacing="0" w:after="0" w:afterAutospacing="0" w:line="360" w:lineRule="auto"/>
        <w:ind w:right="0" w:righ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bookmarkStart w:id="1" w:name="OLE_LINK1"/>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w:t>
      </w:r>
      <w:bookmarkStart w:id="2" w:name="_GoBack"/>
      <w:bookmarkEnd w:id="2"/>
      <w:r>
        <w:rPr>
          <w:rFonts w:hint="eastAsia" w:ascii="仿宋_GB2312" w:hAnsi="仿宋_GB2312" w:eastAsia="仿宋_GB2312" w:cs="仿宋_GB2312"/>
          <w:color w:val="auto"/>
          <w:sz w:val="32"/>
          <w:szCs w:val="32"/>
          <w:lang w:val="en-US" w:eastAsia="zh-CN"/>
        </w:rPr>
        <w:t>使用约束。同时，乙方须如实向甲方提供数据库管理员的用户名、密码以及相关用户权限信息，不得隐瞒。不得通过任何技术手段限制系统内容，数据表结构不得加密，且必须如实提供给甲方。</w:t>
      </w:r>
      <w:bookmarkEnd w:id="1"/>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14、本项目软件部分按总价进行报价，不能以安装工作站数量进行报价。</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15、本项目需完成旧系统中的历史数据导入，旧系统中非自动产生的数据（如手工输入值等），在新系统中可不体现或以默认值体现。若有涉及接口费用，由中标方负责，采购人不再向中标人支付接口费用。</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16、本项目软件版面色彩、风格等应按医院要求设计制作；软件标题只能出现医院logo及系统名称，不能出现公司名称，公司名称允许在帮助（help）的关于（about）中出现。具体版面另行通知。</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17、本项目系统安装调试并经验收合格后，应对采购方的相关人员提供关于系统应用时技术和操作方面的培训。相关培训费用应包含在投标总价中。</w:t>
      </w:r>
    </w:p>
    <w:p>
      <w:pPr>
        <w:pStyle w:val="13"/>
        <w:numPr>
          <w:ilvl w:val="0"/>
          <w:numId w:val="1"/>
        </w:numPr>
        <w:spacing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numPr>
          <w:ilvl w:val="0"/>
          <w:numId w:val="2"/>
        </w:numPr>
        <w:spacing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报名时请携带加盖公章的项目文件回执单、营业执照复印件、公司简介（可含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提供设备彩页等）</w:t>
      </w:r>
      <w:r>
        <w:rPr>
          <w:rFonts w:hint="eastAsia" w:ascii="仿宋_GB2312" w:hAnsi="仿宋_GB2312" w:eastAsia="仿宋_GB2312" w:cs="仿宋_GB2312"/>
          <w:color w:val="000000"/>
          <w:kern w:val="0"/>
          <w:sz w:val="36"/>
          <w:szCs w:val="36"/>
        </w:rPr>
        <w:t>。</w:t>
      </w:r>
    </w:p>
    <w:p>
      <w:pPr>
        <w:pStyle w:val="13"/>
        <w:spacing w:line="360" w:lineRule="auto"/>
      </w:pP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360" w:lineRule="auto"/>
        <w:jc w:val="center"/>
        <w:rPr>
          <w:rFonts w:hint="eastAsia" w:ascii="仿宋_GB2312" w:hAnsi="仿宋_GB2312" w:eastAsia="仿宋_GB2312" w:cs="仿宋_GB2312"/>
          <w:b/>
          <w:color w:val="000000"/>
          <w:sz w:val="32"/>
          <w:szCs w:val="32"/>
          <w:shd w:val="clear" w:color="auto" w:fill="FFFFFF"/>
        </w:rPr>
      </w:pPr>
    </w:p>
    <w:p>
      <w:pPr>
        <w:shd w:val="solid" w:color="FFFFFF" w:fill="auto"/>
        <w:autoSpaceDN w:val="0"/>
        <w:spacing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9"/>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bl>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pStyle w:val="13"/>
        <w:spacing w:line="360" w:lineRule="auto"/>
        <w:rPr>
          <w:rFonts w:hint="eastAsia" w:ascii="仿宋_GB2312" w:hAnsi="仿宋_GB2312" w:cs="仿宋_GB2312"/>
          <w:bCs/>
          <w:sz w:val="32"/>
          <w:szCs w:val="32"/>
          <w:shd w:val="clear" w:color="auto" w:fill="FFFFFF"/>
        </w:rPr>
      </w:pP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7B4397F"/>
    <w:multiLevelType w:val="singleLevel"/>
    <w:tmpl w:val="67B4397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3E746A"/>
    <w:rsid w:val="0000160D"/>
    <w:rsid w:val="0003757E"/>
    <w:rsid w:val="000A0761"/>
    <w:rsid w:val="002A0C62"/>
    <w:rsid w:val="003B2130"/>
    <w:rsid w:val="003E746A"/>
    <w:rsid w:val="00441F37"/>
    <w:rsid w:val="005843F6"/>
    <w:rsid w:val="005B603B"/>
    <w:rsid w:val="005E1C5A"/>
    <w:rsid w:val="00677CA2"/>
    <w:rsid w:val="00724121"/>
    <w:rsid w:val="00775394"/>
    <w:rsid w:val="007F17B5"/>
    <w:rsid w:val="00805947"/>
    <w:rsid w:val="0082491A"/>
    <w:rsid w:val="00830945"/>
    <w:rsid w:val="008368CF"/>
    <w:rsid w:val="008D777B"/>
    <w:rsid w:val="008F6746"/>
    <w:rsid w:val="009278D1"/>
    <w:rsid w:val="00950902"/>
    <w:rsid w:val="009C3229"/>
    <w:rsid w:val="00B662ED"/>
    <w:rsid w:val="00B7053D"/>
    <w:rsid w:val="00C278CC"/>
    <w:rsid w:val="00C771A8"/>
    <w:rsid w:val="00CE4782"/>
    <w:rsid w:val="00CF05B5"/>
    <w:rsid w:val="00D2760A"/>
    <w:rsid w:val="00E41ADB"/>
    <w:rsid w:val="00E852DA"/>
    <w:rsid w:val="00FF177E"/>
    <w:rsid w:val="031B55B3"/>
    <w:rsid w:val="07103EF7"/>
    <w:rsid w:val="0D954BE8"/>
    <w:rsid w:val="0E597E90"/>
    <w:rsid w:val="0E782A66"/>
    <w:rsid w:val="10A02159"/>
    <w:rsid w:val="1235476B"/>
    <w:rsid w:val="13C42198"/>
    <w:rsid w:val="14AE30D9"/>
    <w:rsid w:val="15C3312C"/>
    <w:rsid w:val="1E95634A"/>
    <w:rsid w:val="1F5C7718"/>
    <w:rsid w:val="203938D2"/>
    <w:rsid w:val="23FF3B57"/>
    <w:rsid w:val="2A085E7C"/>
    <w:rsid w:val="2D08798C"/>
    <w:rsid w:val="2DC15E45"/>
    <w:rsid w:val="2FD51B22"/>
    <w:rsid w:val="31C8341C"/>
    <w:rsid w:val="3A394FD8"/>
    <w:rsid w:val="483B0E27"/>
    <w:rsid w:val="493778DE"/>
    <w:rsid w:val="4CF5B425"/>
    <w:rsid w:val="501954ED"/>
    <w:rsid w:val="54653A5E"/>
    <w:rsid w:val="56650E2A"/>
    <w:rsid w:val="5C0678E3"/>
    <w:rsid w:val="65E75217"/>
    <w:rsid w:val="69E03F15"/>
    <w:rsid w:val="6ADFB210"/>
    <w:rsid w:val="6C8F7517"/>
    <w:rsid w:val="75E50979"/>
    <w:rsid w:val="76B81187"/>
    <w:rsid w:val="76BF5FEE"/>
    <w:rsid w:val="787E7C64"/>
    <w:rsid w:val="7B6E21D2"/>
    <w:rsid w:val="7BFBA317"/>
    <w:rsid w:val="7BFE0E71"/>
    <w:rsid w:val="7D7F7A0B"/>
    <w:rsid w:val="7E7D3992"/>
    <w:rsid w:val="9FBDC09D"/>
    <w:rsid w:val="AC6FCE0C"/>
    <w:rsid w:val="BFE0F947"/>
    <w:rsid w:val="CBFDA174"/>
    <w:rsid w:val="EFFFF7F1"/>
    <w:rsid w:val="F73FA6E0"/>
    <w:rsid w:val="FEEFF000"/>
    <w:rsid w:val="FF4D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eastAsia="仿宋_GB2312"/>
      <w:sz w:val="32"/>
    </w:rPr>
  </w:style>
  <w:style w:type="paragraph" w:styleId="4">
    <w:name w:val="annotation text"/>
    <w:basedOn w:val="1"/>
    <w:link w:val="19"/>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paragraph" w:styleId="8">
    <w:name w:val="annotation subject"/>
    <w:basedOn w:val="4"/>
    <w:next w:val="4"/>
    <w:link w:val="20"/>
    <w:qFormat/>
    <w:uiPriority w:val="0"/>
    <w:rPr>
      <w:b/>
      <w:bCs/>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字符"/>
    <w:basedOn w:val="11"/>
    <w:link w:val="6"/>
    <w:qFormat/>
    <w:uiPriority w:val="0"/>
    <w:rPr>
      <w:rFonts w:ascii="Calibri" w:hAnsi="Calibri" w:eastAsia="宋体" w:cs="黑体"/>
      <w:kern w:val="2"/>
      <w:sz w:val="18"/>
      <w:szCs w:val="18"/>
    </w:rPr>
  </w:style>
  <w:style w:type="paragraph" w:customStyle="1" w:styleId="16">
    <w:name w:val="修订1"/>
    <w:hidden/>
    <w:unhideWhenUsed/>
    <w:qFormat/>
    <w:uiPriority w:val="99"/>
    <w:rPr>
      <w:rFonts w:ascii="Calibri" w:hAnsi="Calibri" w:eastAsia="宋体" w:cs="黑体"/>
      <w:kern w:val="2"/>
      <w:sz w:val="21"/>
      <w:szCs w:val="24"/>
      <w:lang w:val="en-US" w:eastAsia="zh-CN" w:bidi="ar-SA"/>
    </w:rPr>
  </w:style>
  <w:style w:type="character" w:customStyle="1" w:styleId="17">
    <w:name w:val="列表段落 字符"/>
    <w:link w:val="18"/>
    <w:qFormat/>
    <w:uiPriority w:val="34"/>
    <w:rPr>
      <w:kern w:val="2"/>
      <w:sz w:val="21"/>
      <w:szCs w:val="24"/>
    </w:rPr>
  </w:style>
  <w:style w:type="paragraph" w:styleId="18">
    <w:name w:val="List Paragraph"/>
    <w:basedOn w:val="1"/>
    <w:link w:val="17"/>
    <w:qFormat/>
    <w:uiPriority w:val="34"/>
    <w:pPr>
      <w:ind w:firstLine="420" w:firstLineChars="200"/>
    </w:pPr>
    <w:rPr>
      <w:rFonts w:asciiTheme="minorHAnsi" w:hAnsiTheme="minorHAnsi" w:eastAsiaTheme="minorEastAsia" w:cstheme="minorBidi"/>
    </w:rPr>
  </w:style>
  <w:style w:type="character" w:customStyle="1" w:styleId="19">
    <w:name w:val="批注文字 字符"/>
    <w:basedOn w:val="11"/>
    <w:link w:val="4"/>
    <w:qFormat/>
    <w:uiPriority w:val="0"/>
    <w:rPr>
      <w:rFonts w:ascii="Calibri" w:hAnsi="Calibri" w:eastAsia="宋体" w:cs="黑体"/>
      <w:kern w:val="2"/>
      <w:sz w:val="21"/>
      <w:szCs w:val="24"/>
    </w:rPr>
  </w:style>
  <w:style w:type="character" w:customStyle="1" w:styleId="20">
    <w:name w:val="批注主题 字符"/>
    <w:basedOn w:val="19"/>
    <w:link w:val="8"/>
    <w:qFormat/>
    <w:uiPriority w:val="0"/>
    <w:rPr>
      <w:rFonts w:ascii="Calibri" w:hAnsi="Calibri" w:eastAsia="宋体" w:cs="黑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4106</Words>
  <Characters>4321</Characters>
  <Lines>21</Lines>
  <Paragraphs>5</Paragraphs>
  <TotalTime>14</TotalTime>
  <ScaleCrop>false</ScaleCrop>
  <LinksUpToDate>false</LinksUpToDate>
  <CharactersWithSpaces>4451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2025-06-30T04:25:00Z</dcterms:created>
  <dc:creator>帅如狗</dc:creator>
  <cp:lastModifiedBy>蓝风</cp:lastModifiedBy>
  <cp:lastPrinted>2025-05-28T00:46:00Z</cp:lastPrinted>
  <dcterms:modified xsi:type="dcterms:W3CDTF">2025-09-19T02:43:16Z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DocerSaveRecord">
    <vt:lpwstr>eyJoZGlkIjoiMzcyYzQ4MzExOWIxM2ZmZWE3MDIzNjczNzVlZjFmOWYiLCJ1c2VySWQiOiIxNzAwODQwNTc2In0=</vt:lpwstr>
  </property>
  <property fmtid="{D5CDD505-2E9C-101B-9397-08002B2CF9AE}" pid="4" name="ICV">
    <vt:lpwstr>CCE4D72E6EB74B9E8136E60FFAEA4393_13</vt:lpwstr>
  </property>
</Properties>
</file>