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需求</w:t>
      </w:r>
      <w:r>
        <w:rPr>
          <w:rFonts w:hint="eastAsia" w:ascii="方正小标宋简体" w:hAnsi="方正小标宋简体" w:eastAsia="方正小标宋简体" w:cs="方正小标宋简体"/>
          <w:b w:val="0"/>
          <w:kern w:val="2"/>
          <w:szCs w:val="44"/>
        </w:rPr>
        <w:t>调研公告</w:t>
      </w:r>
    </w:p>
    <w:p>
      <w:pPr>
        <w:widowControl/>
        <w:shd w:val="clear" w:color="auto" w:fill="FFFFFF"/>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 xml:space="preserve">项目名称：  </w:t>
            </w:r>
            <w:r>
              <w:rPr>
                <w:rFonts w:hint="eastAsia" w:ascii="仿宋_GB2312" w:hAnsi="仿宋_GB2312" w:eastAsia="仿宋_GB2312" w:cs="仿宋_GB2312"/>
                <w:color w:val="000000"/>
                <w:kern w:val="0"/>
                <w:sz w:val="32"/>
                <w:szCs w:val="32"/>
                <w:lang w:val="en-US" w:eastAsia="zh-CN"/>
              </w:rPr>
              <w:t>检查预约平台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调研报名时间： 2025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u w:val="single"/>
                <w:lang w:val="en-US" w:eastAsia="zh-CN"/>
              </w:rPr>
              <w:t>8</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28</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u w:val="single"/>
                <w:lang w:val="en-US" w:eastAsia="zh-CN"/>
              </w:rPr>
              <w:t>9</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3</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(节假日除外)8：00-12：00或14：30-17：30(北京时间）</w:t>
            </w:r>
          </w:p>
          <w:p>
            <w:pPr>
              <w:widowControl/>
              <w:spacing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highlight w:val="none"/>
                <w:u w:val="single"/>
                <w:lang w:val="en-US" w:eastAsia="zh-CN"/>
              </w:rPr>
              <w:t>5</w:t>
            </w:r>
            <w:r>
              <w:rPr>
                <w:rFonts w:hint="eastAsia" w:ascii="仿宋_GB2312" w:hAnsi="仿宋_GB2312" w:eastAsia="仿宋_GB2312" w:cs="仿宋_GB2312"/>
                <w:color w:val="000000"/>
                <w:kern w:val="0"/>
                <w:sz w:val="32"/>
                <w:szCs w:val="32"/>
              </w:rPr>
              <w:t>日 9:00</w:t>
            </w:r>
            <w:bookmarkStart w:id="1" w:name="_GoBack"/>
            <w:bookmarkEnd w:id="1"/>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高</w:t>
      </w:r>
      <w:r>
        <w:rPr>
          <w:rFonts w:hint="eastAsia" w:ascii="仿宋_GB2312" w:hAnsi="仿宋_GB2312" w:eastAsia="仿宋_GB2312" w:cs="仿宋_GB2312"/>
          <w:bCs/>
          <w:color w:val="000000"/>
          <w:kern w:val="0"/>
          <w:sz w:val="32"/>
          <w:szCs w:val="32"/>
          <w:shd w:val="clear" w:color="auto" w:fill="FFFFFF"/>
        </w:rPr>
        <w:t>工、郑工</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977"/>
        <w:gridCol w:w="1842"/>
        <w:gridCol w:w="3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1413" w:type="dxa"/>
            <w:vAlign w:val="center"/>
          </w:tcPr>
          <w:p>
            <w:pPr>
              <w:widowControl/>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2977"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842"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3127" w:type="dxa"/>
            <w:vAlign w:val="center"/>
          </w:tcPr>
          <w:p>
            <w:pPr>
              <w:widowControl/>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exact"/>
        </w:trPr>
        <w:tc>
          <w:tcPr>
            <w:tcW w:w="1413" w:type="dxa"/>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2977" w:type="dxa"/>
            <w:vAlign w:val="center"/>
          </w:tcPr>
          <w:p>
            <w:pPr>
              <w:widowControl/>
              <w:spacing w:line="360" w:lineRule="auto"/>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lang w:val="en-US" w:eastAsia="zh-CN"/>
              </w:rPr>
              <w:t>检查预约平台</w:t>
            </w:r>
          </w:p>
        </w:tc>
        <w:tc>
          <w:tcPr>
            <w:tcW w:w="1842" w:type="dxa"/>
            <w:vAlign w:val="center"/>
          </w:tcPr>
          <w:p>
            <w:pPr>
              <w:autoSpaceDN w:val="0"/>
              <w:spacing w:line="360" w:lineRule="auto"/>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 xml:space="preserve">   1套</w:t>
            </w:r>
          </w:p>
        </w:tc>
        <w:tc>
          <w:tcPr>
            <w:tcW w:w="3127" w:type="dxa"/>
            <w:vAlign w:val="center"/>
          </w:tcPr>
          <w:p>
            <w:pPr>
              <w:autoSpaceDN w:val="0"/>
              <w:spacing w:line="360" w:lineRule="auto"/>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lang w:val="en-US" w:eastAsia="zh-CN"/>
              </w:rPr>
              <w:t>100</w:t>
            </w:r>
          </w:p>
        </w:tc>
      </w:tr>
    </w:tbl>
    <w:p/>
    <w:p>
      <w:pPr>
        <w:keepNext/>
        <w:widowControl/>
        <w:shd w:val="clear" w:color="auto" w:fill="FFFFFF"/>
        <w:autoSpaceDE w:val="0"/>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9"/>
        <w:tblW w:w="9026" w:type="dxa"/>
        <w:tblInd w:w="0" w:type="dxa"/>
        <w:tblLayout w:type="autofit"/>
        <w:tblCellMar>
          <w:top w:w="0" w:type="dxa"/>
          <w:left w:w="108" w:type="dxa"/>
          <w:bottom w:w="0" w:type="dxa"/>
          <w:right w:w="108" w:type="dxa"/>
        </w:tblCellMar>
      </w:tblPr>
      <w:tblGrid>
        <w:gridCol w:w="846"/>
        <w:gridCol w:w="1276"/>
        <w:gridCol w:w="6904"/>
      </w:tblGrid>
      <w:tr>
        <w:tblPrEx>
          <w:tblCellMar>
            <w:top w:w="0" w:type="dxa"/>
            <w:left w:w="108" w:type="dxa"/>
            <w:bottom w:w="0" w:type="dxa"/>
            <w:right w:w="108" w:type="dxa"/>
          </w:tblCellMar>
        </w:tblPrEx>
        <w:trPr>
          <w:trHeight w:val="78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项目</w:t>
            </w:r>
          </w:p>
        </w:tc>
        <w:tc>
          <w:tcPr>
            <w:tcW w:w="69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技术参数要求</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预约规则引擎</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能够提供系统所有的接口服务、数据交换服务、规则的输入、运算及输出服务。能够接收规则运算的各类参数，包括性别、年龄、身高、体重等患者基本信息参数以及来源、优先级别、项目、部位等检查信息参数，通过参数之间的关联、互斥、依赖等关系的运算，结合设备的使用情况，最终输出患者各个检查推荐的预约方案。</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支持患者属性运算、检查项目运算、体征信息运算、合单拆单规则运算；</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支持按申请单数量或检查项目时长系数双模式放号；</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自助机预约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给患者提供自助预约、报到和候诊信息查询服务，是对院内人工窗口预约服务的延伸与补充，减轻窗口压力及避免人群积压在前台产生的医患关系。此模块支持独立运行在自助机上提供服务，也可以实现接口对接与自助机现有应用进行无缝整合。</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支持展示预约须知、检前注意事项提醒；</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支持一键预约所有检查项目（无需人工研判的检查项目）；</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支持多类别检查项目时，患者将所有项目预约至同天检查，或将所有项目按照最快可完成检查的计划一键预约；</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支持控制每一台自助机的预约功能模块；</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微信公众号预约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能够基于标准接口与医院现有移动终端如医院APP、微信、支付宝等渠道进行无缝融合，是对院内人工窗口向院外延伸的服务，方便患者在家、在单位、在路上即可完成预约、改约操作，以及现场报到和候诊信息查询操作。</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支持申请单智能合并；</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支持患者报到时的所在定位检测，到医院指定范围（如医院为中心半径500米）后实现一键报到；</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支持一键预约所有检查项目（无需人工研判的检查项目）；</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支持多类别检查项目时，患者将所有项目预约至同天检查，或将所有项目按照最快可完成检查的计划一键预约；</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4</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门诊医生工作站预约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与收费系统进行对接，提供给门诊医生在开出检查申请单后，医生可根据患者的个体情况、预约队列的预约情况协助患者在未缴费时先完成预约。支持与门诊医生系统的无缝对接，开完申请单后自动弹出预约界面给医生做预约操作。</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支持门诊医生先预约，患者后结算模式，可设置患者在规定时间内未完成结算自动释放已预约号源；</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支持患者先结算后预约模式；</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支持根据申请单自动推荐检查方案、自动计算最适合的预约队列；</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支持基于推荐检查方案的一键确认预约</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5</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住院医生工作站预约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提供给住院医生下医嘱后，医生或护士可根据患者的个体情况、预约队列的预约情况协助患者完成预约。支持与住院护士工作站的无缝对接，实现审核医嘱后对患者进行批量预约操作；</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支持患者运送工具的选择；</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6</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服务中心预约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提供给医院预约服务中心、电话服务中心工作者的预约模块，工作者可根据患者的个人体症、预约队列的预约情况，以及电话预约信息或申请单信息，协助患者完成预约。</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支持绿色通道、VIP患者的特殊预约流程；</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支持无痛胃肠、增强类项目的前置预约审核；</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7</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医技前台预约</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提供给医技科室前台护士的预约模块，操作者可根据患者的个人体症、预约队列的预约情况协助患者完成预约。</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支持患者黑名单管理，根据医院管理需要设置触发规则，自动屏蔽预约渠道，保留人工预约渠道；</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8</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护工浏览</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用于护工在运送患者的日常工作中，将需要做检查的患者按要求让患者准备，并完成运送的患者。</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9</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预约管理工作站</w:t>
            </w:r>
          </w:p>
        </w:tc>
        <w:tc>
          <w:tcPr>
            <w:tcW w:w="690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对系统进行管理的模块，用于科室日常对预约规则的维护，检查情况的时实监控和对号源、检查量的控制，以及对患者预约信息的查阅跟踪等。</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支持预约队列管理、规则管理、检查项目管理、检查号源管理、人员管理、统计管理等。</w:t>
            </w:r>
          </w:p>
        </w:tc>
      </w:tr>
    </w:tbl>
    <w:p>
      <w:pPr>
        <w:numPr>
          <w:ilvl w:val="0"/>
          <w:numId w:val="1"/>
        </w:numPr>
        <w:wordWrap/>
        <w:spacing w:before="0" w:after="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其他要求</w:t>
      </w:r>
    </w:p>
    <w:p>
      <w:pPr>
        <w:numPr>
          <w:ilvl w:val="0"/>
          <w:numId w:val="0"/>
        </w:numPr>
        <w:wordWrap/>
        <w:spacing w:before="0" w:after="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1、本项目系统须同时覆盖我院滨海院区，功能与技术要求与本部院区一致。应结合我院实际医疗及管理需要，对系统进行客户化修改，包括但不限于结合医院实际管理需求。</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pPr>
        <w:pStyle w:val="14"/>
        <w:numPr>
          <w:ilvl w:val="0"/>
          <w:numId w:val="0"/>
        </w:numPr>
        <w:wordWrap/>
        <w:spacing w:before="0" w:beforeAutospacing="0" w:after="0" w:afterAutospacing="0" w:line="360" w:lineRule="auto"/>
        <w:ind w:right="0" w:righ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p>
    <w:p>
      <w:pPr>
        <w:pStyle w:val="13"/>
        <w:numPr>
          <w:ilvl w:val="0"/>
          <w:numId w:val="1"/>
        </w:numPr>
        <w:spacing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2"/>
        </w:numPr>
        <w:spacing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报名时请携带加盖公章的项目文件回执单、营业执照复印件、公司简介（可含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pStyle w:val="13"/>
        <w:spacing w:line="360" w:lineRule="auto"/>
      </w:pP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360" w:lineRule="auto"/>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bl>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pStyle w:val="13"/>
        <w:spacing w:line="360" w:lineRule="auto"/>
        <w:rPr>
          <w:rFonts w:hint="eastAsia" w:ascii="仿宋_GB2312" w:hAnsi="仿宋_GB2312" w:cs="仿宋_GB2312"/>
          <w:bCs/>
          <w:sz w:val="32"/>
          <w:szCs w:val="32"/>
          <w:shd w:val="clear" w:color="auto" w:fill="FFFFFF"/>
        </w:rPr>
      </w:pP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3E746A"/>
    <w:rsid w:val="0000160D"/>
    <w:rsid w:val="0003757E"/>
    <w:rsid w:val="000A0761"/>
    <w:rsid w:val="002A0C62"/>
    <w:rsid w:val="003B2130"/>
    <w:rsid w:val="003E746A"/>
    <w:rsid w:val="00441F37"/>
    <w:rsid w:val="005843F6"/>
    <w:rsid w:val="005B603B"/>
    <w:rsid w:val="005E1C5A"/>
    <w:rsid w:val="00677CA2"/>
    <w:rsid w:val="00724121"/>
    <w:rsid w:val="00775394"/>
    <w:rsid w:val="007F17B5"/>
    <w:rsid w:val="00805947"/>
    <w:rsid w:val="0082491A"/>
    <w:rsid w:val="00830945"/>
    <w:rsid w:val="008368CF"/>
    <w:rsid w:val="008D777B"/>
    <w:rsid w:val="008F6746"/>
    <w:rsid w:val="009278D1"/>
    <w:rsid w:val="00950902"/>
    <w:rsid w:val="009C3229"/>
    <w:rsid w:val="00B662ED"/>
    <w:rsid w:val="00B7053D"/>
    <w:rsid w:val="00C278CC"/>
    <w:rsid w:val="00C771A8"/>
    <w:rsid w:val="00CE4782"/>
    <w:rsid w:val="00CF05B5"/>
    <w:rsid w:val="00D2760A"/>
    <w:rsid w:val="00E41ADB"/>
    <w:rsid w:val="00E852DA"/>
    <w:rsid w:val="00FF177E"/>
    <w:rsid w:val="031B55B3"/>
    <w:rsid w:val="0D954BE8"/>
    <w:rsid w:val="0E782A66"/>
    <w:rsid w:val="1235476B"/>
    <w:rsid w:val="13C42198"/>
    <w:rsid w:val="14AE30D9"/>
    <w:rsid w:val="15C3312C"/>
    <w:rsid w:val="1E95634A"/>
    <w:rsid w:val="1F5C7718"/>
    <w:rsid w:val="2A085E7C"/>
    <w:rsid w:val="2D08798C"/>
    <w:rsid w:val="2DC15E45"/>
    <w:rsid w:val="2FD51B22"/>
    <w:rsid w:val="31C8341C"/>
    <w:rsid w:val="3A394FD8"/>
    <w:rsid w:val="483B0E27"/>
    <w:rsid w:val="493778DE"/>
    <w:rsid w:val="4CF5B425"/>
    <w:rsid w:val="501954ED"/>
    <w:rsid w:val="54653A5E"/>
    <w:rsid w:val="56650E2A"/>
    <w:rsid w:val="5C0678E3"/>
    <w:rsid w:val="65E75217"/>
    <w:rsid w:val="6ADFB210"/>
    <w:rsid w:val="6C8F7517"/>
    <w:rsid w:val="75E50979"/>
    <w:rsid w:val="76BF5FEE"/>
    <w:rsid w:val="787E7C64"/>
    <w:rsid w:val="7B6E21D2"/>
    <w:rsid w:val="7BFBA317"/>
    <w:rsid w:val="7BFE0E71"/>
    <w:rsid w:val="7D7F7A0B"/>
    <w:rsid w:val="7E7D3992"/>
    <w:rsid w:val="9FBDC09D"/>
    <w:rsid w:val="AC6FCE0C"/>
    <w:rsid w:val="BFE0F947"/>
    <w:rsid w:val="CBFDA174"/>
    <w:rsid w:val="EFFFF7F1"/>
    <w:rsid w:val="F73FA6E0"/>
    <w:rsid w:val="FEEFF000"/>
    <w:rsid w:val="FF4D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4">
    <w:name w:val="annotation text"/>
    <w:basedOn w:val="1"/>
    <w:link w:val="19"/>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paragraph" w:styleId="8">
    <w:name w:val="annotation subject"/>
    <w:basedOn w:val="4"/>
    <w:next w:val="4"/>
    <w:link w:val="20"/>
    <w:qFormat/>
    <w:uiPriority w:val="0"/>
    <w:rPr>
      <w:b/>
      <w:bCs/>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1"/>
    <w:link w:val="6"/>
    <w:qFormat/>
    <w:uiPriority w:val="0"/>
    <w:rPr>
      <w:rFonts w:ascii="Calibri" w:hAnsi="Calibri" w:eastAsia="宋体" w:cs="黑体"/>
      <w:kern w:val="2"/>
      <w:sz w:val="18"/>
      <w:szCs w:val="18"/>
    </w:rPr>
  </w:style>
  <w:style w:type="paragraph" w:customStyle="1" w:styleId="16">
    <w:name w:val="修订1"/>
    <w:hidden/>
    <w:unhideWhenUsed/>
    <w:qFormat/>
    <w:uiPriority w:val="99"/>
    <w:rPr>
      <w:rFonts w:ascii="Calibri" w:hAnsi="Calibri" w:eastAsia="宋体" w:cs="黑体"/>
      <w:kern w:val="2"/>
      <w:sz w:val="21"/>
      <w:szCs w:val="24"/>
      <w:lang w:val="en-US" w:eastAsia="zh-CN" w:bidi="ar-SA"/>
    </w:rPr>
  </w:style>
  <w:style w:type="character" w:customStyle="1" w:styleId="17">
    <w:name w:val="列表段落 字符"/>
    <w:link w:val="18"/>
    <w:qFormat/>
    <w:uiPriority w:val="34"/>
    <w:rPr>
      <w:kern w:val="2"/>
      <w:sz w:val="21"/>
      <w:szCs w:val="24"/>
    </w:rPr>
  </w:style>
  <w:style w:type="paragraph" w:styleId="18">
    <w:name w:val="List Paragraph"/>
    <w:basedOn w:val="1"/>
    <w:link w:val="17"/>
    <w:qFormat/>
    <w:uiPriority w:val="34"/>
    <w:pPr>
      <w:ind w:firstLine="420" w:firstLineChars="200"/>
    </w:pPr>
    <w:rPr>
      <w:rFonts w:asciiTheme="minorHAnsi" w:hAnsiTheme="minorHAnsi" w:eastAsiaTheme="minorEastAsia" w:cstheme="minorBidi"/>
    </w:rPr>
  </w:style>
  <w:style w:type="character" w:customStyle="1" w:styleId="19">
    <w:name w:val="批注文字 字符"/>
    <w:basedOn w:val="11"/>
    <w:link w:val="4"/>
    <w:qFormat/>
    <w:uiPriority w:val="0"/>
    <w:rPr>
      <w:rFonts w:ascii="Calibri" w:hAnsi="Calibri" w:eastAsia="宋体" w:cs="黑体"/>
      <w:kern w:val="2"/>
      <w:sz w:val="21"/>
      <w:szCs w:val="24"/>
    </w:rPr>
  </w:style>
  <w:style w:type="character" w:customStyle="1" w:styleId="20">
    <w:name w:val="批注主题 字符"/>
    <w:basedOn w:val="19"/>
    <w:link w:val="8"/>
    <w:qFormat/>
    <w:uiPriority w:val="0"/>
    <w:rPr>
      <w:rFonts w:ascii="Calibri" w:hAnsi="Calibri" w:eastAsia="宋体" w:cs="黑体"/>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3909</Words>
  <Characters>4119</Characters>
  <Lines>21</Lines>
  <Paragraphs>5</Paragraphs>
  <TotalTime>16</TotalTime>
  <ScaleCrop>false</ScaleCrop>
  <LinksUpToDate>false</LinksUpToDate>
  <CharactersWithSpaces>4249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2025-06-30T04:25:00Z</dcterms:created>
  <dc:creator>帅如狗</dc:creator>
  <cp:lastModifiedBy>蓝风</cp:lastModifiedBy>
  <cp:lastPrinted>2025-05-28T00:46:00Z</cp:lastPrinted>
  <dcterms:modified xsi:type="dcterms:W3CDTF">2025-08-28T01:05:43Z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TemplateDocerSaveRecord">
    <vt:lpwstr>eyJoZGlkIjoiMzcyYzQ4MzExOWIxM2ZmZWE3MDIzNjczNzVlZjFmOWYiLCJ1c2VySWQiOiIxNzAwODQwNTc2In0=</vt:lpwstr>
  </property>
  <property fmtid="{D5CDD505-2E9C-101B-9397-08002B2CF9AE}" pid="4" name="ICV">
    <vt:lpwstr>CCE4D72E6EB74B9E8136E60FFAEA4393_13</vt:lpwstr>
  </property>
</Properties>
</file>