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E18B6">
      <w:pPr>
        <w:pStyle w:val="3"/>
        <w:numPr>
          <w:ilvl w:val="0"/>
          <w:numId w:val="0"/>
        </w:numPr>
        <w:spacing w:before="0" w:after="0" w:line="240" w:lineRule="auto"/>
        <w:jc w:val="center"/>
        <w:rPr>
          <w:rFonts w:hint="eastAsia" w:ascii="方正小标宋简体" w:hAnsi="方正小标宋简体" w:eastAsia="方正小标宋简体" w:cs="方正小标宋简体"/>
          <w:b w:val="0"/>
          <w:sz w:val="44"/>
          <w:szCs w:val="44"/>
        </w:rPr>
      </w:pPr>
      <w:bookmarkStart w:id="0" w:name="_GoBack"/>
      <w:r>
        <w:rPr>
          <w:rFonts w:hint="eastAsia" w:ascii="方正小标宋简体" w:hAnsi="方正小标宋简体" w:eastAsia="方正小标宋简体" w:cs="方正小标宋简体"/>
          <w:b w:val="0"/>
          <w:sz w:val="44"/>
          <w:szCs w:val="44"/>
        </w:rPr>
        <w:t>福建省肿瘤医院</w:t>
      </w:r>
      <w:r>
        <w:rPr>
          <w:rFonts w:hint="eastAsia" w:ascii="方正小标宋简体" w:hAnsi="方正小标宋简体" w:eastAsia="方正小标宋简体" w:cs="方正小标宋简体"/>
          <w:b w:val="0"/>
          <w:sz w:val="44"/>
          <w:szCs w:val="44"/>
          <w:lang w:val="en-US" w:eastAsia="zh-CN"/>
        </w:rPr>
        <w:t>网络流量牵引系统</w:t>
      </w:r>
      <w:r>
        <w:rPr>
          <w:rFonts w:hint="eastAsia" w:ascii="方正小标宋简体" w:hAnsi="方正小标宋简体" w:eastAsia="方正小标宋简体" w:cs="方正小标宋简体"/>
          <w:b w:val="0"/>
          <w:sz w:val="44"/>
          <w:szCs w:val="44"/>
        </w:rPr>
        <w:t>设备</w:t>
      </w:r>
    </w:p>
    <w:p w14:paraId="5C71522B">
      <w:pPr>
        <w:pStyle w:val="3"/>
        <w:numPr>
          <w:ilvl w:val="0"/>
          <w:numId w:val="0"/>
        </w:numPr>
        <w:spacing w:before="0" w:after="0" w:line="240" w:lineRule="auto"/>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网超品牌论证公告</w:t>
      </w:r>
    </w:p>
    <w:bookmarkEnd w:id="0"/>
    <w:p w14:paraId="5358F65D">
      <w:pPr>
        <w:shd w:val="clear" w:color="auto" w:fill="FFFFFF"/>
        <w:adjustRightInd w:val="0"/>
        <w:snapToGrid w:val="0"/>
        <w:spacing w:before="158" w:beforeLines="50" w:line="590" w:lineRule="exact"/>
        <w:jc w:val="center"/>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11"/>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2FC8E23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DD615D">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F4B03D">
            <w:pPr>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8</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20</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8</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26</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w:t>
            </w: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0(北京时间）</w:t>
            </w:r>
          </w:p>
          <w:p w14:paraId="47F91BEE">
            <w:pPr>
              <w:widowControl/>
              <w:ind w:firstLine="0" w:firstLineChars="0"/>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8</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29</w:t>
            </w:r>
            <w:r>
              <w:rPr>
                <w:rFonts w:hint="eastAsia" w:ascii="仿宋_GB2312" w:hAnsi="仿宋_GB2312" w:eastAsia="仿宋_GB2312" w:cs="仿宋_GB2312"/>
                <w:color w:val="000000"/>
                <w:kern w:val="0"/>
                <w:sz w:val="32"/>
                <w:szCs w:val="32"/>
              </w:rPr>
              <w:t>日 9:00</w:t>
            </w:r>
          </w:p>
        </w:tc>
      </w:tr>
      <w:tr w14:paraId="5EE02E6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22F8F13">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07C950D">
            <w:pPr>
              <w:widowControl/>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04787A2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7DBCEF4">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22D470B">
            <w:pPr>
              <w:widowControl/>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5163272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D25D20">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B38AE33">
            <w:pPr>
              <w:widowControl/>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02813B7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DCF79D">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0DD648">
            <w:pPr>
              <w:widowControl/>
              <w:shd w:val="clear" w:color="auto" w:fill="FFFFFF"/>
              <w:adjustRightInd w:val="0"/>
              <w:snapToGrid w:val="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08E8ADB5">
      <w:pPr>
        <w:pStyle w:val="5"/>
        <w:ind w:firstLine="0" w:firstLineChars="0"/>
      </w:pPr>
    </w:p>
    <w:p w14:paraId="71F57EF9">
      <w:pPr>
        <w:widowControl/>
        <w:shd w:val="clear" w:color="auto" w:fill="FFFFFF"/>
        <w:ind w:firstLine="0" w:firstLineChars="0"/>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01D31E69">
      <w:pPr>
        <w:widowControl/>
        <w:shd w:val="clear" w:color="auto" w:fill="FFFFFF"/>
        <w:ind w:firstLine="42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44A9CFA2">
      <w:pPr>
        <w:widowControl/>
        <w:shd w:val="clear" w:color="auto" w:fill="FFFFFF"/>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2BE4BCF5">
      <w:pPr>
        <w:widowControl/>
        <w:shd w:val="clear" w:color="auto" w:fill="FFFFFF"/>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7C1C448E">
      <w:pPr>
        <w:widowControl/>
        <w:shd w:val="clear" w:color="auto" w:fill="FFFFFF"/>
        <w:ind w:firstLine="0" w:firstLineChars="0"/>
        <w:rPr>
          <w:rFonts w:hint="default" w:ascii="仿宋_GB2312" w:hAnsi="仿宋_GB2312" w:eastAsia="仿宋_GB2312" w:cs="仿宋_GB2312"/>
          <w:bCs/>
          <w:color w:val="000000"/>
          <w:kern w:val="0"/>
          <w:sz w:val="32"/>
          <w:szCs w:val="32"/>
          <w:shd w:val="clear" w:color="auto" w:fill="FFFFFF"/>
          <w:lang w:val="en-US" w:eastAsia="zh-CN"/>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钱</w:t>
      </w:r>
      <w:r>
        <w:rPr>
          <w:rFonts w:hint="eastAsia" w:ascii="仿宋_GB2312" w:hAnsi="仿宋_GB2312" w:eastAsia="仿宋_GB2312" w:cs="仿宋_GB2312"/>
          <w:bCs/>
          <w:color w:val="000000"/>
          <w:kern w:val="0"/>
          <w:sz w:val="32"/>
          <w:szCs w:val="32"/>
          <w:shd w:val="clear" w:color="auto" w:fill="FFFFFF"/>
        </w:rPr>
        <w:t>工</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lang w:val="en-US" w:eastAsia="zh-CN"/>
        </w:rPr>
        <w:t>郑工</w:t>
      </w:r>
    </w:p>
    <w:p w14:paraId="6F8FE628">
      <w:pPr>
        <w:pStyle w:val="2"/>
        <w:rPr>
          <w:rFonts w:ascii="仿宋_GB2312" w:hAnsi="仿宋_GB2312" w:cs="仿宋_GB2312"/>
          <w:sz w:val="32"/>
          <w:szCs w:val="32"/>
        </w:rPr>
      </w:pPr>
      <w:r>
        <w:rPr>
          <w:rFonts w:hint="eastAsia" w:ascii="仿宋_GB2312" w:hAnsi="仿宋_GB2312" w:cs="仿宋_GB2312"/>
          <w:sz w:val="32"/>
          <w:szCs w:val="32"/>
        </w:rPr>
        <w:br w:type="page"/>
      </w:r>
    </w:p>
    <w:p w14:paraId="1B4E4435">
      <w:pPr>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250043A6">
      <w:pPr>
        <w:shd w:val="clear" w:color="auto" w:fill="FFFFFF"/>
        <w:autoSpaceDE w:val="0"/>
        <w:snapToGrid w:val="0"/>
        <w:spacing w:before="158"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Style w:val="11"/>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14:paraId="5AFF0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7" w:type="dxa"/>
            <w:vAlign w:val="center"/>
          </w:tcPr>
          <w:p w14:paraId="39E04884">
            <w:pPr>
              <w:snapToGrid w:val="0"/>
              <w:spacing w:line="312" w:lineRule="auto"/>
              <w:jc w:val="center"/>
              <w:rPr>
                <w:rFonts w:ascii="宋体" w:hAnsi="宋体" w:cs="宋体"/>
                <w:b/>
                <w:bCs/>
                <w:sz w:val="24"/>
              </w:rPr>
            </w:pPr>
            <w:r>
              <w:rPr>
                <w:rFonts w:hint="eastAsia" w:ascii="宋体" w:hAnsi="宋体" w:cs="宋体"/>
                <w:b/>
                <w:bCs/>
                <w:color w:val="000000"/>
                <w:kern w:val="0"/>
                <w:sz w:val="24"/>
              </w:rPr>
              <w:t>合同包</w:t>
            </w:r>
          </w:p>
        </w:tc>
        <w:tc>
          <w:tcPr>
            <w:tcW w:w="3178" w:type="dxa"/>
            <w:vAlign w:val="center"/>
          </w:tcPr>
          <w:p w14:paraId="5AE46727">
            <w:pPr>
              <w:snapToGrid w:val="0"/>
              <w:spacing w:line="312" w:lineRule="auto"/>
              <w:jc w:val="center"/>
              <w:rPr>
                <w:rFonts w:ascii="宋体" w:hAnsi="宋体" w:cs="宋体"/>
                <w:b/>
                <w:bCs/>
                <w:kern w:val="0"/>
                <w:sz w:val="24"/>
              </w:rPr>
            </w:pPr>
            <w:r>
              <w:rPr>
                <w:rFonts w:hint="eastAsia" w:ascii="宋体" w:hAnsi="宋体" w:cs="宋体"/>
                <w:b/>
                <w:bCs/>
                <w:color w:val="000000"/>
                <w:kern w:val="0"/>
                <w:sz w:val="24"/>
              </w:rPr>
              <w:t>名称</w:t>
            </w:r>
          </w:p>
        </w:tc>
        <w:tc>
          <w:tcPr>
            <w:tcW w:w="1590" w:type="dxa"/>
            <w:vAlign w:val="center"/>
          </w:tcPr>
          <w:p w14:paraId="7E877963">
            <w:pPr>
              <w:snapToGrid w:val="0"/>
              <w:spacing w:line="312" w:lineRule="auto"/>
              <w:jc w:val="center"/>
              <w:rPr>
                <w:rFonts w:ascii="宋体" w:hAnsi="宋体" w:cs="宋体"/>
                <w:b/>
                <w:bCs/>
                <w:kern w:val="0"/>
                <w:sz w:val="24"/>
              </w:rPr>
            </w:pPr>
            <w:r>
              <w:rPr>
                <w:rFonts w:hint="eastAsia" w:ascii="宋体" w:hAnsi="宋体" w:cs="宋体"/>
                <w:b/>
                <w:bCs/>
                <w:color w:val="000000"/>
                <w:kern w:val="0"/>
                <w:sz w:val="24"/>
              </w:rPr>
              <w:t>数量</w:t>
            </w:r>
          </w:p>
        </w:tc>
        <w:tc>
          <w:tcPr>
            <w:tcW w:w="1894" w:type="dxa"/>
            <w:vAlign w:val="center"/>
          </w:tcPr>
          <w:p w14:paraId="6B6D89E1">
            <w:pPr>
              <w:snapToGrid w:val="0"/>
              <w:spacing w:line="312" w:lineRule="auto"/>
              <w:jc w:val="center"/>
              <w:rPr>
                <w:rFonts w:ascii="宋体" w:hAnsi="宋体" w:cs="宋体"/>
                <w:b/>
                <w:bCs/>
                <w:kern w:val="0"/>
                <w:sz w:val="24"/>
              </w:rPr>
            </w:pPr>
            <w:r>
              <w:rPr>
                <w:rFonts w:hint="eastAsia" w:ascii="宋体" w:hAnsi="宋体" w:cs="宋体"/>
                <w:b/>
                <w:bCs/>
                <w:color w:val="000000"/>
                <w:kern w:val="0"/>
                <w:sz w:val="24"/>
              </w:rPr>
              <w:t>预算（万元）</w:t>
            </w:r>
          </w:p>
        </w:tc>
      </w:tr>
      <w:tr w14:paraId="7414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7" w:type="dxa"/>
            <w:vAlign w:val="center"/>
          </w:tcPr>
          <w:p w14:paraId="7BEAAA66">
            <w:pPr>
              <w:snapToGrid w:val="0"/>
              <w:spacing w:line="312" w:lineRule="auto"/>
              <w:jc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lang w:eastAsia="zh-CN"/>
              </w:rPr>
              <w:t>（</w:t>
            </w:r>
            <w:r>
              <w:rPr>
                <w:rFonts w:hint="eastAsia" w:ascii="宋体" w:hAnsi="宋体" w:cs="宋体"/>
                <w:b/>
                <w:bCs/>
                <w:color w:val="000000"/>
                <w:kern w:val="0"/>
                <w:sz w:val="22"/>
                <w:szCs w:val="22"/>
                <w:lang w:val="en-US" w:eastAsia="zh-CN"/>
              </w:rPr>
              <w:t>一</w:t>
            </w:r>
            <w:r>
              <w:rPr>
                <w:rFonts w:hint="eastAsia" w:ascii="宋体" w:hAnsi="宋体" w:cs="宋体"/>
                <w:b/>
                <w:bCs/>
                <w:color w:val="000000"/>
                <w:kern w:val="0"/>
                <w:sz w:val="22"/>
                <w:szCs w:val="22"/>
                <w:lang w:eastAsia="zh-CN"/>
              </w:rPr>
              <w:t>）</w:t>
            </w:r>
          </w:p>
        </w:tc>
        <w:tc>
          <w:tcPr>
            <w:tcW w:w="3178" w:type="dxa"/>
            <w:vAlign w:val="center"/>
          </w:tcPr>
          <w:p w14:paraId="7B251105">
            <w:pPr>
              <w:snapToGrid w:val="0"/>
              <w:spacing w:line="312" w:lineRule="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网络流量牵引系统</w:t>
            </w:r>
          </w:p>
        </w:tc>
        <w:tc>
          <w:tcPr>
            <w:tcW w:w="1590" w:type="dxa"/>
            <w:vAlign w:val="center"/>
          </w:tcPr>
          <w:p w14:paraId="49A741C1">
            <w:pPr>
              <w:snapToGrid w:val="0"/>
              <w:spacing w:line="312"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1台</w:t>
            </w:r>
          </w:p>
        </w:tc>
        <w:tc>
          <w:tcPr>
            <w:tcW w:w="1894" w:type="dxa"/>
            <w:shd w:val="clear" w:color="auto" w:fill="auto"/>
            <w:vAlign w:val="center"/>
          </w:tcPr>
          <w:p w14:paraId="2B39728B">
            <w:pPr>
              <w:snapToGrid w:val="0"/>
              <w:spacing w:line="312"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25</w:t>
            </w:r>
          </w:p>
        </w:tc>
      </w:tr>
    </w:tbl>
    <w:p w14:paraId="4DA4DE34">
      <w:pPr>
        <w:shd w:val="clear" w:color="auto" w:fill="FFFFFF"/>
        <w:autoSpaceDE w:val="0"/>
        <w:snapToGrid w:val="0"/>
        <w:spacing w:before="158" w:beforeLines="50" w:line="360" w:lineRule="auto"/>
        <w:rPr>
          <w:rFonts w:hint="eastAsia" w:ascii="宋体" w:hAnsi="宋体" w:cs="宋体"/>
          <w:b/>
          <w:color w:val="000000"/>
          <w:kern w:val="0"/>
          <w:sz w:val="28"/>
          <w:szCs w:val="28"/>
          <w:shd w:val="clear" w:color="auto" w:fill="FFFFFF"/>
        </w:rPr>
      </w:pPr>
    </w:p>
    <w:p w14:paraId="36B265EB">
      <w:pPr>
        <w:numPr>
          <w:ilvl w:val="0"/>
          <w:numId w:val="1"/>
        </w:numPr>
        <w:shd w:val="clear" w:color="auto" w:fill="FFFFFF"/>
        <w:autoSpaceDE w:val="0"/>
        <w:snapToGrid w:val="0"/>
        <w:spacing w:before="158" w:beforeLines="50" w:line="360" w:lineRule="auto"/>
        <w:rPr>
          <w:rFonts w:hint="eastAsia"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技术及服务要求</w:t>
      </w:r>
    </w:p>
    <w:p w14:paraId="3A930863">
      <w:pPr>
        <w:pStyle w:val="2"/>
        <w:numPr>
          <w:ilvl w:val="0"/>
          <w:numId w:val="0"/>
        </w:numPr>
        <w:wordWrap/>
        <w:spacing w:before="0" w:after="0" w:line="360" w:lineRule="auto"/>
        <w:ind w:left="0" w:leftChars="0" w:right="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1、合同包（一）</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683"/>
        <w:gridCol w:w="1228"/>
        <w:gridCol w:w="5395"/>
      </w:tblGrid>
      <w:tr w14:paraId="6D22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6" w:type="pct"/>
            <w:vAlign w:val="center"/>
          </w:tcPr>
          <w:p w14:paraId="6B7C6D34">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序号</w:t>
            </w:r>
          </w:p>
        </w:tc>
        <w:tc>
          <w:tcPr>
            <w:tcW w:w="906" w:type="pct"/>
            <w:vAlign w:val="center"/>
          </w:tcPr>
          <w:p w14:paraId="03B8895C">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项目</w:t>
            </w:r>
          </w:p>
        </w:tc>
        <w:tc>
          <w:tcPr>
            <w:tcW w:w="661" w:type="pct"/>
            <w:vAlign w:val="center"/>
          </w:tcPr>
          <w:p w14:paraId="05B8322F">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数量</w:t>
            </w:r>
          </w:p>
        </w:tc>
        <w:tc>
          <w:tcPr>
            <w:tcW w:w="2905" w:type="pct"/>
            <w:vAlign w:val="center"/>
          </w:tcPr>
          <w:p w14:paraId="3ECF73C3">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技术参数要求</w:t>
            </w:r>
          </w:p>
        </w:tc>
      </w:tr>
      <w:tr w14:paraId="7ED6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6" w:type="pct"/>
            <w:vAlign w:val="center"/>
          </w:tcPr>
          <w:p w14:paraId="026F585A">
            <w:pPr>
              <w:snapToGrid w:val="0"/>
              <w:spacing w:line="312" w:lineRule="auto"/>
              <w:jc w:val="center"/>
              <w:rPr>
                <w:rFonts w:ascii="宋体" w:hAnsi="宋体" w:cs="宋体"/>
                <w:kern w:val="0"/>
                <w:sz w:val="22"/>
                <w:szCs w:val="22"/>
              </w:rPr>
            </w:pPr>
            <w:r>
              <w:rPr>
                <w:rFonts w:hint="eastAsia" w:ascii="宋体" w:hAnsi="宋体" w:cs="宋体"/>
                <w:kern w:val="0"/>
                <w:sz w:val="22"/>
                <w:szCs w:val="22"/>
              </w:rPr>
              <w:t>1</w:t>
            </w:r>
          </w:p>
        </w:tc>
        <w:tc>
          <w:tcPr>
            <w:tcW w:w="906" w:type="pct"/>
            <w:vAlign w:val="center"/>
          </w:tcPr>
          <w:p w14:paraId="1FF96B2C">
            <w:pPr>
              <w:snapToGrid w:val="0"/>
              <w:spacing w:line="312" w:lineRule="auto"/>
              <w:jc w:val="left"/>
              <w:rPr>
                <w:rFonts w:ascii="宋体" w:hAnsi="宋体" w:cs="宋体"/>
                <w:kern w:val="0"/>
                <w:sz w:val="22"/>
                <w:szCs w:val="22"/>
              </w:rPr>
            </w:pPr>
            <w:r>
              <w:rPr>
                <w:rFonts w:hint="eastAsia" w:ascii="宋体" w:hAnsi="宋体" w:eastAsia="宋体" w:cs="宋体"/>
                <w:kern w:val="0"/>
                <w:sz w:val="24"/>
                <w:lang w:val="en-US" w:eastAsia="zh-CN"/>
              </w:rPr>
              <w:t>网络流量牵引系统</w:t>
            </w:r>
            <w:r>
              <w:rPr>
                <w:rFonts w:hint="eastAsia" w:ascii="宋体" w:hAnsi="宋体" w:cs="宋体"/>
                <w:kern w:val="0"/>
                <w:sz w:val="24"/>
                <w:lang w:val="en-US" w:eastAsia="zh-CN"/>
              </w:rPr>
              <w:t>（网络流量复制器）</w:t>
            </w:r>
          </w:p>
        </w:tc>
        <w:tc>
          <w:tcPr>
            <w:tcW w:w="661" w:type="pct"/>
            <w:vAlign w:val="center"/>
          </w:tcPr>
          <w:p w14:paraId="2FE2C292">
            <w:pPr>
              <w:snapToGrid w:val="0"/>
              <w:spacing w:line="312" w:lineRule="auto"/>
              <w:jc w:val="both"/>
              <w:rPr>
                <w:rFonts w:ascii="宋体" w:hAnsi="宋体" w:cs="宋体"/>
                <w:kern w:val="0"/>
                <w:sz w:val="22"/>
                <w:szCs w:val="22"/>
              </w:rPr>
            </w:pPr>
            <w:r>
              <w:rPr>
                <w:rFonts w:hint="eastAsia" w:ascii="宋体" w:hAnsi="宋体" w:cs="宋体"/>
                <w:kern w:val="0"/>
                <w:sz w:val="22"/>
                <w:szCs w:val="22"/>
                <w:lang w:val="en-US" w:eastAsia="zh-CN"/>
              </w:rPr>
              <w:t>1</w:t>
            </w:r>
            <w:r>
              <w:rPr>
                <w:rFonts w:hint="eastAsia" w:ascii="宋体" w:hAnsi="宋体" w:cs="宋体"/>
                <w:kern w:val="0"/>
                <w:sz w:val="22"/>
                <w:szCs w:val="22"/>
              </w:rPr>
              <w:t>台</w:t>
            </w:r>
          </w:p>
        </w:tc>
        <w:tc>
          <w:tcPr>
            <w:tcW w:w="2905" w:type="pct"/>
          </w:tcPr>
          <w:p w14:paraId="5C5BC37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auto"/>
                <w:sz w:val="24"/>
                <w:szCs w:val="32"/>
                <w:highlight w:val="none"/>
                <w:lang w:val="en-US" w:eastAsia="zh-CN"/>
              </w:rPr>
            </w:pPr>
            <w:r>
              <w:rPr>
                <w:rFonts w:hint="eastAsia"/>
                <w:color w:val="auto"/>
                <w:sz w:val="24"/>
                <w:szCs w:val="32"/>
                <w:highlight w:val="none"/>
                <w:lang w:val="en-US" w:eastAsia="zh-CN"/>
              </w:rPr>
              <w:t>1.标准机架式设备，模块化设计，标配≥6个千兆电口、≥4个千兆SFP接口，≥3个扩展槽；≥2个USB口，≥1个COM口，≥32G SSD固态盘；网络吞吐量不小于30Gbps；</w:t>
            </w:r>
            <w:r>
              <w:rPr>
                <w:rFonts w:hint="eastAsia" w:ascii="宋体" w:hAnsi="宋体" w:cs="宋体"/>
                <w:color w:val="auto"/>
                <w:kern w:val="0"/>
                <w:sz w:val="24"/>
                <w:highlight w:val="none"/>
              </w:rPr>
              <w:t>三年质保</w:t>
            </w:r>
            <w:r>
              <w:rPr>
                <w:rFonts w:hint="eastAsia" w:ascii="宋体" w:hAnsi="宋体" w:cs="宋体"/>
                <w:color w:val="auto"/>
                <w:kern w:val="0"/>
                <w:sz w:val="24"/>
                <w:highlight w:val="none"/>
                <w:lang w:eastAsia="zh-CN"/>
              </w:rPr>
              <w:t>；</w:t>
            </w:r>
          </w:p>
          <w:p w14:paraId="5C8335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32"/>
                <w:lang w:val="en-US" w:eastAsia="zh-CN"/>
              </w:rPr>
            </w:pPr>
            <w:r>
              <w:rPr>
                <w:rFonts w:hint="eastAsia"/>
                <w:sz w:val="24"/>
                <w:szCs w:val="32"/>
                <w:lang w:val="en-US" w:eastAsia="zh-CN"/>
              </w:rPr>
              <w:t>2.支持串联部署、旁路部署、混合部署；支持在虚拟机上安装流量探针（中间件）实现虚拟化平台的网络流量采集；</w:t>
            </w:r>
          </w:p>
          <w:p w14:paraId="5A9113F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32"/>
                <w:lang w:val="en-US" w:eastAsia="zh-CN"/>
              </w:rPr>
            </w:pPr>
            <w:r>
              <w:rPr>
                <w:rFonts w:hint="eastAsia"/>
                <w:sz w:val="24"/>
                <w:szCs w:val="32"/>
                <w:lang w:val="en-US" w:eastAsia="zh-CN"/>
              </w:rPr>
              <w:t>3.网络接口可以灵活配置为输入和输出接口；支持1:N的数据分流和N:1的流量汇聚；</w:t>
            </w:r>
          </w:p>
          <w:p w14:paraId="7D3917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32"/>
                <w:lang w:val="en-US" w:eastAsia="zh-CN"/>
              </w:rPr>
            </w:pPr>
            <w:r>
              <w:rPr>
                <w:rFonts w:hint="eastAsia"/>
                <w:sz w:val="24"/>
                <w:szCs w:val="32"/>
                <w:lang w:val="en-US" w:eastAsia="zh-CN"/>
              </w:rPr>
              <w:t>4.支持同源同宿，保证会话完整性，避免hash负载均衡后输出的网口流量会话不一致问题；</w:t>
            </w:r>
          </w:p>
          <w:p w14:paraId="198D0E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32"/>
                <w:lang w:val="en-US" w:eastAsia="zh-CN"/>
              </w:rPr>
            </w:pPr>
            <w:r>
              <w:rPr>
                <w:rFonts w:hint="eastAsia"/>
                <w:sz w:val="24"/>
                <w:szCs w:val="32"/>
                <w:lang w:val="en-US" w:eastAsia="zh-CN"/>
              </w:rPr>
              <w:t>5.支持基于流量入网口、出网口、VLAN、源MAC、目的MAC、Server、Client、SrvPort、CliPort、协议进行流量过滤；（提供功能截图）</w:t>
            </w:r>
          </w:p>
          <w:p w14:paraId="0D5BBB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32"/>
                <w:lang w:val="en-US" w:eastAsia="zh-CN"/>
              </w:rPr>
            </w:pPr>
            <w:r>
              <w:rPr>
                <w:rFonts w:hint="eastAsia"/>
                <w:sz w:val="24"/>
                <w:szCs w:val="32"/>
                <w:lang w:val="en-US" w:eastAsia="zh-CN"/>
              </w:rPr>
              <w:t>6.支持基于SIP（源IP）、DIP（目的IP）、SP（源端口）、DP（目的端口）、PROTO（协议）五元组进行流量负载均衡；（提供功能截图）</w:t>
            </w:r>
          </w:p>
          <w:p w14:paraId="5DD78B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rPr>
              <w:t>支持配置多条流量取证规则，将流量报文存储为pcap格式文件</w:t>
            </w:r>
            <w:r>
              <w:rPr>
                <w:rFonts w:hint="eastAsia"/>
                <w:sz w:val="24"/>
                <w:szCs w:val="32"/>
                <w:lang w:eastAsia="zh-CN"/>
              </w:rPr>
              <w:t>；</w:t>
            </w:r>
            <w:r>
              <w:rPr>
                <w:rFonts w:hint="eastAsia"/>
                <w:sz w:val="24"/>
                <w:szCs w:val="32"/>
                <w:lang w:val="en-US" w:eastAsia="zh-CN"/>
              </w:rPr>
              <w:t>（提供功能截图）</w:t>
            </w:r>
          </w:p>
          <w:p w14:paraId="14D5D0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32"/>
                <w:lang w:val="en-US" w:eastAsia="zh-CN"/>
              </w:rPr>
            </w:pPr>
            <w:r>
              <w:rPr>
                <w:rFonts w:hint="eastAsia"/>
                <w:sz w:val="24"/>
                <w:szCs w:val="32"/>
                <w:lang w:val="en-US" w:eastAsia="zh-CN"/>
              </w:rPr>
              <w:t>8.</w:t>
            </w:r>
            <w:r>
              <w:rPr>
                <w:rFonts w:hint="eastAsia"/>
                <w:sz w:val="24"/>
                <w:szCs w:val="32"/>
              </w:rPr>
              <w:t>针对每条取证规则，支持设置每次取证所存储的文件大小，支持基于入口、VLAN、源MAC、目的MAC、Client、Server、CliPort、SrvPort、协议九元组进行取证数据报文过滤</w:t>
            </w:r>
            <w:r>
              <w:rPr>
                <w:rFonts w:hint="eastAsia"/>
                <w:sz w:val="24"/>
                <w:szCs w:val="32"/>
                <w:lang w:val="en-US" w:eastAsia="zh-CN"/>
              </w:rPr>
              <w:t>；（提供功能截图）</w:t>
            </w:r>
          </w:p>
          <w:p w14:paraId="21E748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32"/>
                <w:lang w:val="en-US" w:eastAsia="zh-CN"/>
              </w:rPr>
            </w:pPr>
            <w:r>
              <w:rPr>
                <w:rFonts w:hint="eastAsia"/>
                <w:sz w:val="24"/>
                <w:szCs w:val="32"/>
                <w:lang w:val="en-US" w:eastAsia="zh-CN"/>
              </w:rPr>
              <w:t>8.支持流量取证功能，针对每条取证规则，支持配置取证时间，在设定的时间范围（时间段）或相对时间（例如按每天，或按周、月）内进行取证；（提供功能截图）</w:t>
            </w:r>
          </w:p>
          <w:p w14:paraId="764402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sz w:val="24"/>
                <w:szCs w:val="32"/>
                <w:lang w:val="en-US" w:eastAsia="zh-CN"/>
              </w:rPr>
            </w:pPr>
            <w:r>
              <w:rPr>
                <w:rFonts w:hint="eastAsia"/>
                <w:sz w:val="24"/>
                <w:szCs w:val="32"/>
                <w:lang w:val="en-US" w:eastAsia="zh-CN"/>
              </w:rPr>
              <w:t>9.支持B/S操作界面，支持全中文操作，支持Web界面完成系统支持的所有功能配置。</w:t>
            </w:r>
          </w:p>
        </w:tc>
      </w:tr>
    </w:tbl>
    <w:p w14:paraId="64FF329E">
      <w:pPr>
        <w:rPr>
          <w:rFonts w:ascii="仿宋_GB2312" w:hAnsi="仿宋_GB2312" w:cs="仿宋_GB2312"/>
          <w:b/>
          <w:bCs/>
          <w:sz w:val="32"/>
          <w:szCs w:val="32"/>
        </w:rPr>
      </w:pPr>
    </w:p>
    <w:p w14:paraId="32004528">
      <w:pPr>
        <w:pStyle w:val="2"/>
        <w:numPr>
          <w:ilvl w:val="0"/>
          <w:numId w:val="2"/>
        </w:numPr>
        <w:rPr>
          <w:rFonts w:ascii="仿宋_GB2312" w:hAnsi="仿宋_GB2312" w:cs="仿宋_GB2312"/>
          <w:b/>
          <w:bCs/>
          <w:sz w:val="32"/>
          <w:szCs w:val="32"/>
        </w:rPr>
      </w:pPr>
      <w:r>
        <w:rPr>
          <w:rFonts w:hint="eastAsia" w:ascii="仿宋_GB2312" w:hAnsi="仿宋_GB2312" w:cs="仿宋_GB2312"/>
          <w:b/>
          <w:bCs/>
          <w:sz w:val="32"/>
          <w:szCs w:val="32"/>
        </w:rPr>
        <w:t>其他要求</w:t>
      </w:r>
    </w:p>
    <w:p w14:paraId="1E486393">
      <w:pPr>
        <w:pStyle w:val="19"/>
        <w:spacing w:before="0" w:beforeAutospacing="0" w:after="0" w:afterAutospacing="0" w:line="480" w:lineRule="atLeast"/>
        <w:ind w:firstLine="640"/>
        <w:jc w:val="both"/>
      </w:pPr>
      <w:r>
        <w:rPr>
          <w:rStyle w:val="20"/>
          <w:rFonts w:hint="eastAsia" w:ascii="仿宋_GB2312" w:eastAsia="仿宋_GB2312"/>
          <w:sz w:val="32"/>
          <w:szCs w:val="32"/>
        </w:rPr>
        <w:t>1、本项目为交钥匙工程，设备安装、系统集成、软件客户化均由</w:t>
      </w:r>
      <w:r>
        <w:rPr>
          <w:rFonts w:hint="eastAsia" w:ascii="仿宋_GB2312" w:hAnsi="仿宋_GB2312" w:eastAsia="仿宋_GB2312" w:cs="仿宋_GB2312"/>
          <w:color w:val="000000"/>
          <w:sz w:val="32"/>
          <w:szCs w:val="32"/>
          <w:lang w:val="en-US" w:eastAsia="zh-CN"/>
        </w:rPr>
        <w:t>成交人</w:t>
      </w:r>
      <w:r>
        <w:rPr>
          <w:rStyle w:val="20"/>
          <w:rFonts w:hint="eastAsia" w:ascii="仿宋_GB2312" w:eastAsia="仿宋_GB2312"/>
          <w:sz w:val="32"/>
          <w:szCs w:val="32"/>
        </w:rPr>
        <w:t>负责。提供各设备上架调试、系统集成等软硬件安装安装工作，同时结合医院现有设备及应用情况，实施现有及本项目规划、等保安全、系统集成、数据迁移、协助完成医院评审工作包括但不限于三级等保评审、电子病历评审、互联互通评审等各项工作。</w:t>
      </w:r>
    </w:p>
    <w:p w14:paraId="627AFC9D">
      <w:pPr>
        <w:pStyle w:val="19"/>
        <w:spacing w:before="0" w:beforeAutospacing="0" w:after="0" w:afterAutospacing="0" w:line="480" w:lineRule="atLeast"/>
        <w:ind w:firstLine="640"/>
        <w:jc w:val="both"/>
        <w:rPr>
          <w:highlight w:val="none"/>
        </w:rPr>
      </w:pPr>
      <w:r>
        <w:rPr>
          <w:rStyle w:val="20"/>
          <w:rFonts w:hint="eastAsia" w:ascii="仿宋_GB2312" w:eastAsia="仿宋_GB2312"/>
          <w:sz w:val="32"/>
          <w:szCs w:val="32"/>
        </w:rPr>
        <w:t>2、本项目系统需符合《信息安全技术网络安全等级保护基本要求》GB/T22239-2019（三级）要求（下文简称：三级等保2.0），并在三级等保2.0评审中协助完成本系统评审工作。</w:t>
      </w:r>
    </w:p>
    <w:p w14:paraId="58EB2129">
      <w:pPr>
        <w:spacing w:line="315" w:lineRule="atLeas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color w:val="auto"/>
          <w:kern w:val="0"/>
          <w:sz w:val="32"/>
          <w:szCs w:val="32"/>
          <w:highlight w:val="none"/>
        </w:rPr>
        <w:t>本次采购的网络流量牵引系统（网络流量复制器）支持与医院现有的网络流量牵引系统（网络流量复制器）无缝对接</w:t>
      </w:r>
      <w:r>
        <w:rPr>
          <w:rFonts w:hint="eastAsia" w:ascii="仿宋_GB2312" w:hAnsi="仿宋_GB2312" w:eastAsia="仿宋_GB2312" w:cs="仿宋_GB2312"/>
          <w:color w:val="auto"/>
          <w:kern w:val="0"/>
          <w:sz w:val="32"/>
          <w:szCs w:val="32"/>
          <w:highlight w:val="none"/>
          <w:lang w:eastAsia="zh-CN"/>
        </w:rPr>
        <w:t>。</w:t>
      </w:r>
    </w:p>
    <w:p w14:paraId="4A2B608A">
      <w:pPr>
        <w:spacing w:line="315"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.本项目涉及的安全设备安装调试并经验收合格后，应对采购方的相关人员提供关于系统应用时技术和操作方面的培训。相关培训费用应包含在投标总价中。</w:t>
      </w:r>
    </w:p>
    <w:p w14:paraId="571042A6">
      <w:pPr>
        <w:pStyle w:val="2"/>
        <w:numPr>
          <w:ilvl w:val="0"/>
          <w:numId w:val="2"/>
        </w:numPr>
        <w:rPr>
          <w:rFonts w:ascii="仿宋_GB2312" w:hAnsi="仿宋_GB2312" w:cs="仿宋_GB2312"/>
          <w:b/>
          <w:bCs/>
          <w:sz w:val="32"/>
          <w:szCs w:val="32"/>
        </w:rPr>
      </w:pPr>
      <w:r>
        <w:rPr>
          <w:rFonts w:hint="eastAsia" w:ascii="仿宋_GB2312" w:hAnsi="仿宋_GB2312" w:cs="仿宋_GB2312"/>
          <w:b/>
          <w:bCs/>
          <w:sz w:val="32"/>
          <w:szCs w:val="32"/>
        </w:rPr>
        <w:t>调研说明</w:t>
      </w:r>
    </w:p>
    <w:p w14:paraId="64DEBCAE">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7AF48CAB">
      <w:pPr>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p>
    <w:p w14:paraId="1F860055">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4620072D">
      <w:pPr>
        <w:shd w:val="clear" w:color="auto" w:fill="FFFFFF"/>
        <w:spacing w:line="500" w:lineRule="atLeast"/>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14:paraId="35A9C540">
      <w:pPr>
        <w:shd w:val="clear" w:color="auto" w:fill="FFFFFF"/>
        <w:spacing w:line="500" w:lineRule="atLeast"/>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4、提供业绩清单及近3年省内同类项目中标书</w:t>
      </w:r>
      <w:r>
        <w:rPr>
          <w:rFonts w:hint="eastAsia" w:ascii="仿宋_GB2312" w:hAnsi="仿宋_GB2312" w:eastAsia="仿宋_GB2312" w:cs="仿宋_GB2312"/>
          <w:color w:val="000000"/>
          <w:spacing w:val="-8"/>
          <w:kern w:val="0"/>
          <w:sz w:val="32"/>
          <w:szCs w:val="32"/>
          <w:shd w:val="clear" w:color="auto" w:fill="FFFFFF"/>
          <w:lang w:eastAsia="zh-CN"/>
        </w:rPr>
        <w:t>（</w:t>
      </w:r>
      <w:r>
        <w:rPr>
          <w:rFonts w:hint="eastAsia" w:ascii="仿宋_GB2312" w:hAnsi="仿宋_GB2312" w:eastAsia="仿宋_GB2312" w:cs="仿宋_GB2312"/>
          <w:color w:val="000000"/>
          <w:spacing w:val="-8"/>
          <w:kern w:val="0"/>
          <w:sz w:val="32"/>
          <w:szCs w:val="32"/>
          <w:shd w:val="clear" w:color="auto" w:fill="FFFFFF"/>
          <w:lang w:val="en-US" w:eastAsia="zh-CN"/>
        </w:rPr>
        <w:t>如有</w:t>
      </w:r>
      <w:r>
        <w:rPr>
          <w:rFonts w:hint="eastAsia" w:ascii="仿宋_GB2312" w:hAnsi="仿宋_GB2312" w:eastAsia="仿宋_GB2312" w:cs="仿宋_GB2312"/>
          <w:color w:val="000000"/>
          <w:spacing w:val="-8"/>
          <w:kern w:val="0"/>
          <w:sz w:val="32"/>
          <w:szCs w:val="32"/>
          <w:shd w:val="clear" w:color="auto" w:fill="FFFFFF"/>
          <w:lang w:eastAsia="zh-CN"/>
        </w:rPr>
        <w:t>）</w:t>
      </w:r>
      <w:r>
        <w:rPr>
          <w:rFonts w:hint="eastAsia" w:ascii="仿宋_GB2312" w:hAnsi="仿宋_GB2312" w:eastAsia="仿宋_GB2312" w:cs="仿宋_GB2312"/>
          <w:color w:val="000000"/>
          <w:spacing w:val="-8"/>
          <w:kern w:val="0"/>
          <w:sz w:val="32"/>
          <w:szCs w:val="32"/>
          <w:shd w:val="clear" w:color="auto" w:fill="FFFFFF"/>
        </w:rPr>
        <w:t>；</w:t>
      </w:r>
    </w:p>
    <w:p w14:paraId="52D921E1">
      <w:pPr>
        <w:shd w:val="clear" w:color="auto" w:fill="FFFFFF"/>
        <w:spacing w:line="500" w:lineRule="atLeast"/>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5、本调研会的报价仅做为本项目公开招标的预算限价；不做参与投标的限制条件；</w:t>
      </w:r>
    </w:p>
    <w:p w14:paraId="19C54B76">
      <w:pPr>
        <w:shd w:val="clear" w:color="auto" w:fill="FFFFFF"/>
        <w:spacing w:line="500" w:lineRule="atLeast"/>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6、上述各参数将做为本项目招标的主要参数，不代表本项目公开招标的最终参数；</w:t>
      </w:r>
    </w:p>
    <w:p w14:paraId="2E32F678">
      <w:pPr>
        <w:shd w:val="clear" w:color="auto" w:fill="FFFFFF"/>
        <w:spacing w:line="500" w:lineRule="atLeast"/>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7、参加调研会的公司应准备PPT材料（含方案介绍、安全能力、应用案例、报价等）、技术参数等材料，每公司讲解时间30分钟（含答疑10分钟）；同时上述材料须交予院方留档（提供U盘留档）。</w:t>
      </w:r>
    </w:p>
    <w:p w14:paraId="7CC30B3A">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AACB8C1">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4547493C">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11"/>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5BF8BA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51302CAE">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967CBF7">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3531CEC">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B13703F">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1C3836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7E43707E">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A3F5173">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3B63B42">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3F0FADD">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14:paraId="60D422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61CE4BF">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6130851">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580A8D0">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FA493BA">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14:paraId="055E622A">
      <w:pPr>
        <w:shd w:val="solid" w:color="FFFFFF" w:fill="auto"/>
        <w:autoSpaceDN w:val="0"/>
        <w:spacing w:line="420" w:lineRule="atLeast"/>
        <w:rPr>
          <w:rFonts w:ascii="仿宋_GB2312" w:hAnsi="仿宋_GB2312" w:eastAsia="仿宋_GB2312" w:cs="仿宋_GB2312"/>
          <w:bCs/>
          <w:sz w:val="32"/>
          <w:szCs w:val="32"/>
          <w:shd w:val="clear" w:color="auto" w:fill="FFFFFF"/>
        </w:rPr>
      </w:pPr>
    </w:p>
    <w:p w14:paraId="03D17839">
      <w:pPr>
        <w:shd w:val="solid" w:color="FFFFFF" w:fill="auto"/>
        <w:autoSpaceDN w:val="0"/>
        <w:spacing w:line="500" w:lineRule="exact"/>
        <w:rPr>
          <w:rFonts w:ascii="仿宋_GB2312" w:hAnsi="仿宋_GB2312" w:eastAsia="仿宋_GB2312" w:cs="仿宋_GB2312"/>
          <w:bCs/>
          <w:sz w:val="32"/>
          <w:szCs w:val="32"/>
          <w:shd w:val="clear" w:color="auto" w:fill="FFFFFF"/>
        </w:rPr>
      </w:pPr>
    </w:p>
    <w:p w14:paraId="0C793704">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567D03A4">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559FB545">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5EBBDEA4">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6D05A2D1">
      <w:pPr>
        <w:shd w:val="solid" w:color="FFFFFF" w:fill="auto"/>
        <w:autoSpaceDN w:val="0"/>
        <w:spacing w:line="500" w:lineRule="exact"/>
        <w:rPr>
          <w:rFonts w:ascii="仿宋_GB2312" w:hAnsi="仿宋_GB2312" w:eastAsia="仿宋_GB2312" w:cs="仿宋_GB2312"/>
          <w:bCs/>
          <w:sz w:val="32"/>
          <w:szCs w:val="32"/>
          <w:shd w:val="clear" w:color="auto" w:fill="FFFFFF"/>
        </w:rPr>
      </w:pPr>
    </w:p>
    <w:p w14:paraId="30061F2A">
      <w:pPr>
        <w:pStyle w:val="2"/>
        <w:rPr>
          <w:rFonts w:ascii="仿宋_GB2312" w:hAnsi="仿宋_GB2312" w:cs="仿宋_GB2312"/>
          <w:bCs/>
          <w:sz w:val="32"/>
          <w:szCs w:val="32"/>
          <w:shd w:val="clear" w:color="auto" w:fill="FFFFFF"/>
        </w:rPr>
      </w:pPr>
    </w:p>
    <w:p w14:paraId="61C8D2E4">
      <w:pPr>
        <w:pStyle w:val="2"/>
        <w:rPr>
          <w:rFonts w:ascii="仿宋_GB2312" w:hAnsi="仿宋_GB2312" w:cs="仿宋_GB2312"/>
          <w:sz w:val="32"/>
          <w:szCs w:val="32"/>
        </w:rPr>
      </w:pPr>
      <w:r>
        <w:rPr>
          <w:rFonts w:hint="eastAsia" w:ascii="仿宋_GB2312" w:hAnsi="仿宋_GB2312" w:cs="仿宋_GB2312"/>
          <w:sz w:val="32"/>
          <w:szCs w:val="32"/>
        </w:rPr>
        <w:t xml:space="preserve">                                        福建省肿瘤医院</w:t>
      </w:r>
    </w:p>
    <w:p w14:paraId="229D5F32">
      <w:pPr>
        <w:pStyle w:val="2"/>
        <w:rPr>
          <w:rFonts w:ascii="仿宋_GB2312" w:hAnsi="仿宋_GB2312" w:cs="仿宋_GB2312"/>
          <w:sz w:val="32"/>
          <w:szCs w:val="32"/>
        </w:rPr>
      </w:pPr>
      <w:r>
        <w:rPr>
          <w:rFonts w:hint="eastAsia" w:ascii="仿宋_GB2312" w:hAnsi="仿宋_GB2312" w:cs="仿宋_GB2312"/>
          <w:sz w:val="32"/>
          <w:szCs w:val="32"/>
        </w:rPr>
        <w:t xml:space="preserve">                                           年  月  日</w:t>
      </w:r>
    </w:p>
    <w:sectPr>
      <w:footerReference r:id="rId3"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AF0FA">
    <w:pPr>
      <w:pStyle w:val="8"/>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845755442"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162560"/>
                      </a:xfrm>
                      <a:prstGeom prst="rect">
                        <a:avLst/>
                      </a:prstGeom>
                      <a:noFill/>
                      <a:ln>
                        <a:noFill/>
                      </a:ln>
                    </wps:spPr>
                    <wps:txbx>
                      <w:txbxContent>
                        <w:p w14:paraId="41CDDED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WkyP0QAAAAMBAAAPAAAAAAAAAAEAIAAAACIAAABkcnMvZG93bnJldi54&#10;bWxQSwECFAAUAAAACACHTuJAinJ9fwECAAADBAAADgAAAAAAAAABACAAAAAgAQAAZHJzL2Uyb0Rv&#10;Yy54bWxQSwUGAAAAAAYABgBZAQAAkwUAAAAA&#10;">
              <v:fill on="f" focussize="0,0"/>
              <v:stroke on="f"/>
              <v:imagedata o:title=""/>
              <o:lock v:ext="edit" aspectratio="f"/>
              <v:textbox inset="0mm,0mm,0mm,0mm" style="mso-fit-shape-to-text:t;">
                <w:txbxContent>
                  <w:p w14:paraId="41CDDED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AC5CE"/>
    <w:multiLevelType w:val="singleLevel"/>
    <w:tmpl w:val="9D5AC5CE"/>
    <w:lvl w:ilvl="0" w:tentative="0">
      <w:start w:val="2"/>
      <w:numFmt w:val="chineseCounting"/>
      <w:suff w:val="nothing"/>
      <w:lvlText w:val="%1、"/>
      <w:lvlJc w:val="left"/>
      <w:rPr>
        <w:rFonts w:hint="eastAsia"/>
      </w:rPr>
    </w:lvl>
  </w:abstractNum>
  <w:abstractNum w:abstractNumId="1">
    <w:nsid w:val="53551602"/>
    <w:multiLevelType w:val="singleLevel"/>
    <w:tmpl w:val="5355160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BF320F"/>
    <w:rsid w:val="000E347C"/>
    <w:rsid w:val="0011129F"/>
    <w:rsid w:val="0030271C"/>
    <w:rsid w:val="00662DEF"/>
    <w:rsid w:val="00702590"/>
    <w:rsid w:val="00705F2F"/>
    <w:rsid w:val="00AF2541"/>
    <w:rsid w:val="00B0415B"/>
    <w:rsid w:val="00BF320F"/>
    <w:rsid w:val="00D340C3"/>
    <w:rsid w:val="00D77789"/>
    <w:rsid w:val="00DD4211"/>
    <w:rsid w:val="00ED3A19"/>
    <w:rsid w:val="019B1886"/>
    <w:rsid w:val="03E9678C"/>
    <w:rsid w:val="08F0518B"/>
    <w:rsid w:val="0E193959"/>
    <w:rsid w:val="0E64766E"/>
    <w:rsid w:val="11C73B0B"/>
    <w:rsid w:val="152C1153"/>
    <w:rsid w:val="15C22343"/>
    <w:rsid w:val="1936112E"/>
    <w:rsid w:val="1FCA53B9"/>
    <w:rsid w:val="206C01E7"/>
    <w:rsid w:val="25236198"/>
    <w:rsid w:val="288C7A13"/>
    <w:rsid w:val="32F56799"/>
    <w:rsid w:val="35CD1307"/>
    <w:rsid w:val="35F26FC0"/>
    <w:rsid w:val="39DA0497"/>
    <w:rsid w:val="3DBD17B8"/>
    <w:rsid w:val="421F01BD"/>
    <w:rsid w:val="445A051A"/>
    <w:rsid w:val="461A38BB"/>
    <w:rsid w:val="4BAE7A7B"/>
    <w:rsid w:val="4CCC0194"/>
    <w:rsid w:val="4E3941DC"/>
    <w:rsid w:val="4FBB7FCB"/>
    <w:rsid w:val="51C00046"/>
    <w:rsid w:val="55A85A0B"/>
    <w:rsid w:val="5D4763CB"/>
    <w:rsid w:val="5D85055A"/>
    <w:rsid w:val="60247DFB"/>
    <w:rsid w:val="67723AC6"/>
    <w:rsid w:val="67A92DA4"/>
    <w:rsid w:val="6EC00891"/>
    <w:rsid w:val="73D82DD5"/>
    <w:rsid w:val="743C4B95"/>
    <w:rsid w:val="74C05A5F"/>
    <w:rsid w:val="789428E4"/>
    <w:rsid w:val="79202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autoRedefine/>
    <w:qFormat/>
    <w:uiPriority w:val="0"/>
    <w:pPr>
      <w:keepNext/>
      <w:keepLines/>
      <w:spacing w:line="576" w:lineRule="auto"/>
      <w:outlineLvl w:val="0"/>
    </w:pPr>
    <w:rPr>
      <w:b/>
      <w:kern w:val="44"/>
      <w:sz w:val="44"/>
    </w:rPr>
  </w:style>
  <w:style w:type="paragraph" w:styleId="4">
    <w:name w:val="heading 2"/>
    <w:basedOn w:val="1"/>
    <w:next w:val="1"/>
    <w:autoRedefine/>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autoRedefine/>
    <w:qFormat/>
    <w:uiPriority w:val="0"/>
    <w:pPr>
      <w:overflowPunct w:val="0"/>
      <w:autoSpaceDE w:val="0"/>
      <w:autoSpaceDN w:val="0"/>
      <w:adjustRightInd w:val="0"/>
      <w:textAlignment w:val="baseline"/>
    </w:pPr>
    <w:rPr>
      <w:rFonts w:eastAsia="仿宋_GB2312"/>
      <w:kern w:val="28"/>
      <w:sz w:val="24"/>
      <w:szCs w:val="20"/>
    </w:rPr>
  </w:style>
  <w:style w:type="paragraph" w:styleId="5">
    <w:name w:val="Normal Indent"/>
    <w:basedOn w:val="1"/>
    <w:qFormat/>
    <w:uiPriority w:val="0"/>
    <w:pPr>
      <w:ind w:firstLine="420"/>
    </w:pPr>
  </w:style>
  <w:style w:type="paragraph" w:styleId="6">
    <w:name w:val="Body Text"/>
    <w:basedOn w:val="1"/>
    <w:next w:val="7"/>
    <w:autoRedefine/>
    <w:unhideWhenUsed/>
    <w:qFormat/>
    <w:uiPriority w:val="99"/>
    <w:rPr>
      <w:rFonts w:ascii="仿宋_GB2312" w:eastAsia="仿宋_GB2312"/>
      <w:sz w:val="32"/>
    </w:rPr>
  </w:style>
  <w:style w:type="paragraph" w:customStyle="1" w:styleId="7">
    <w:name w:val="引用1"/>
    <w:basedOn w:val="1"/>
    <w:next w:val="1"/>
    <w:autoRedefine/>
    <w:qFormat/>
    <w:uiPriority w:val="29"/>
    <w:pPr>
      <w:spacing w:beforeLines="50" w:afterLines="50" w:line="360" w:lineRule="auto"/>
    </w:pPr>
    <w:rPr>
      <w:i/>
      <w:iCs/>
      <w:color w:val="000000"/>
      <w:lang w:val="zh-CN"/>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Normal (Web)"/>
    <w:basedOn w:val="1"/>
    <w:autoRedefine/>
    <w:qFormat/>
    <w:uiPriority w:val="0"/>
    <w:pPr>
      <w:spacing w:line="336" w:lineRule="auto"/>
      <w:jc w:val="left"/>
    </w:pPr>
    <w:rPr>
      <w:rFonts w:ascii="宋体" w:hAnsi="宋体"/>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paragraph" w:customStyle="1" w:styleId="15">
    <w:name w:val="xl35"/>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6">
    <w:name w:val="列表段落1"/>
    <w:basedOn w:val="1"/>
    <w:autoRedefine/>
    <w:qFormat/>
    <w:uiPriority w:val="34"/>
    <w:pPr>
      <w:ind w:firstLine="420" w:firstLineChars="200"/>
    </w:pPr>
  </w:style>
  <w:style w:type="paragraph" w:customStyle="1" w:styleId="17">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8">
    <w:name w:val="页眉 字符"/>
    <w:basedOn w:val="13"/>
    <w:link w:val="9"/>
    <w:autoRedefine/>
    <w:qFormat/>
    <w:uiPriority w:val="0"/>
    <w:rPr>
      <w:rFonts w:ascii="Calibri" w:hAnsi="Calibri" w:cs="黑体"/>
      <w:kern w:val="2"/>
      <w:sz w:val="18"/>
      <w:szCs w:val="18"/>
    </w:rPr>
  </w:style>
  <w:style w:type="paragraph" w:customStyle="1" w:styleId="19">
    <w:name w:val="p16"/>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0">
    <w:name w:val="b-free-read-leaf"/>
    <w:basedOn w:val="13"/>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1657</Words>
  <Characters>1913</Characters>
  <Lines>24</Lines>
  <Paragraphs>6</Paragraphs>
  <TotalTime>0</TotalTime>
  <ScaleCrop>false</ScaleCrop>
  <LinksUpToDate>false</LinksUpToDate>
  <CharactersWithSpaces>2039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2024-04-18T02:02:00Z</dcterms:created>
  <dc:creator>Admin</dc:creator>
  <cp:lastModifiedBy>网络办金</cp:lastModifiedBy>
  <cp:lastPrinted>2023-06-20T07:45:00Z</cp:lastPrinted>
  <dcterms:modified xsi:type="dcterms:W3CDTF">2025-08-20T00:25:08Z</dcterms:modified>
  <dc:title>设备科：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FF9E8D64CBB24D228238CAACC5CD1C0B_13</vt:lpwstr>
  </property>
  <property fmtid="{D5CDD505-2E9C-101B-9397-08002B2CF9AE}" pid="4" name="KSOTemplateDocerSaveRecord">
    <vt:lpwstr>eyJoZGlkIjoiMzcyYzQ4MzExOWIxM2ZmZWE3MDIzNjczNzVlZjFmOWYiLCJ1c2VySWQiOiIxNzAwODQwNTc2In0=</vt:lpwstr>
  </property>
</Properties>
</file>