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/>
        <w:spacing w:before="0" w:after="0" w:line="360" w:lineRule="auto"/>
        <w:ind w:left="0" w:leftChars="0" w:right="0"/>
        <w:jc w:val="center"/>
        <w:rPr>
          <w:rFonts w:hint="default" w:ascii="仿宋_GB2312" w:hAnsi="仿宋_GB2312" w:eastAsia="方正小标宋简体" w:cs="仿宋_GB2312"/>
          <w:b w:val="0"/>
          <w:kern w:val="2"/>
          <w:sz w:val="32"/>
          <w:szCs w:val="32"/>
          <w:lang w:val="en-US" w:eastAsia="zh-CN"/>
        </w:rPr>
      </w:pPr>
      <w:bookmarkStart w:id="0" w:name="OLE_LINK2"/>
      <w:bookmarkStart w:id="1" w:name="OLE_LINK3"/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  <w:bookmarkEnd w:id="0"/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8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7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： </w:t>
            </w:r>
            <w:bookmarkStart w:id="2" w:name="OLE_LINK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</w:rPr>
              <w:t>影像在线磁盘阵列存储扩容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val="en-US" w:eastAsia="zh-CN"/>
              </w:rPr>
              <w:t>二次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4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0-</w:t>
            </w:r>
            <w:bookmarkStart w:id="3" w:name="_GoBack"/>
            <w:bookmarkEnd w:id="3"/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2025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7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10:00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注：第一次已提交报名材料的供应商本次无需再次提交。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杜工、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郑工</w:t>
      </w:r>
    </w:p>
    <w:p>
      <w:pPr>
        <w:pStyle w:val="11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8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323"/>
        <w:gridCol w:w="1590"/>
        <w:gridCol w:w="1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4323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1552" w:type="dxa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4323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 xml:space="preserve"> 影像在线磁盘阵列存储扩容</w:t>
            </w:r>
          </w:p>
        </w:tc>
        <w:tc>
          <w:tcPr>
            <w:tcW w:w="1590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1套</w:t>
            </w:r>
          </w:p>
        </w:tc>
        <w:tc>
          <w:tcPr>
            <w:tcW w:w="1894" w:type="dxa"/>
            <w:vAlign w:val="center"/>
          </w:tcPr>
          <w:p>
            <w:pPr>
              <w:wordWrap/>
              <w:autoSpaceDN w:val="0"/>
              <w:spacing w:before="0" w:after="0" w:line="360" w:lineRule="auto"/>
              <w:ind w:left="0" w:leftChars="0" w:right="0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 xml:space="preserve"> 150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8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125"/>
        <w:gridCol w:w="6282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(1)CPU：配置≥2颗国产CPU，单颗CPU核心数≥32，主频≥2.6GHz；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(2)内存：每节点≥192GB，可扩展至1TB；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(3)配置≥2块480GB SATA SSD（系统使用）；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(4)配置容量不少于21TB 企业级读写混合型 NVMe SSD（DWPD≥3）；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(5)配置容量不少于216TB SATA 7.2KRPM 企业级HDD盘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(6)配置≥2块双端口10GE SFP+ 网卡（含模块）；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(7)配置≥1块双端口千兆以太网卡；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(8)每节点配置≥2个热插拔冗余电源；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(9)提供6年 7*24 小时原厂标准服务；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(10)集群SSD池总可用容量不少于45TB，HDD池总容量不少于518TB；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（11）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配备备份用SSD硬盘：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SATA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接口，单盘容量不少于200GB，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4台存储备份硬盘总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数量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，提供安装服务；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66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分布式存储管理软件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(1)国产化，符合国家信创要求；PACS读图速率不低于EMC UNITY680性能；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(2)群兼容支持X86、ARM异构存储硬件平台，集群内同一目录可跨多个资源池无缝扩容，无需进行数据均衡，扩容过程业务不断；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(3)在同一存储资源池中支持同时运行并提供文件存储、对象存储及块存储服务,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支持iSCSI/NFS/SMB/FTP/S3等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标准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协议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。同一数据可实现不同文件与协议之间读写互通转换；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(4)提供≥950TB分布式软件系统物理容量授权许可，无额外付费功能项；可设置SSD数据池存放近线影像数据，并可按需设置自动分级，超期数据自动迁移至HDD数据池；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(5)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可设置双副本或者纠删码的数据冗余策略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(6)可设定自适应速率数据修复策略，即根据业务系统负载大小自动调整数据重构速率，无需手动设置带宽规则，在管理页面实时显示修复速率；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(7)提供集群异步复制功能，支持根据目录与对象桶自定义同步策略，支持从端不跟随主端同步删除操作；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(8)对所有文件协议和接口都支持小文件合并优化功能；</w:t>
            </w:r>
          </w:p>
          <w:p>
            <w:pPr>
              <w:widowControl/>
              <w:wordWrap/>
              <w:spacing w:before="0" w:after="0" w:line="24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(9)提供6年 7*24 小时原厂标准服务；每季度巡检服务；福州本地设有办事处；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0" w:hRule="exact"/>
          <w:tblHeader/>
        </w:trPr>
        <w:tc>
          <w:tcPr>
            <w:tcW w:w="1054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信创时钟设备</w:t>
            </w:r>
          </w:p>
        </w:tc>
        <w:tc>
          <w:tcPr>
            <w:tcW w:w="6282" w:type="dxa"/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钟设备为分布式存储各个节点的日志记录提供统一的时间戳，管理员能根据时间顺序清晰地了解系统中各事件的发生过程，当系统出现故障时，能根据时钟设备提供准确的时间信息，快速定位故障原因，对恢复系统至关重要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分布式存储通过数据冗余和副本机制保证数据完整性。时钟设备能确保各副本在时间上的一致性，通过对比不同副本的时间戳，可检测数据是否被篡改或损坏。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分布式系统中的任务调度和协调依赖准确的时间信息。时钟设备为任务分配、资源调度等提供统一的时间参考。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时间基准：单北斗卫星，支持单星授时；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硬件PPS精度：≤20ns(典型值RMS)；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NTP同步偏差：1us；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NTP吞吐能力：≥10万次/秒；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守时模块：高精度铷原子钟；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守时精度：1微秒（24小时）；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守时误差：5毫秒/年； 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客户端容量：＞100万台；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硬件配置：国产CPU+国产操作系统；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NTP客户端同步精度：0.01~2毫秒（局域网典型值）；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NTP授时网口：6路千兆RJ45电口+4路SFP光口；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面板屏幕：彩色液晶显示屏；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MTBF（平均无故障工作时间）：＞100000小时；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交流电源输入：冗余双电源；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配置1根≥100米卫星天线；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原厂完成卫星天线和防雷部署、设备上架、调试；</w:t>
            </w:r>
          </w:p>
          <w:p>
            <w:pPr>
              <w:widowControl/>
              <w:numPr>
                <w:ilvl w:val="0"/>
                <w:numId w:val="1"/>
              </w:numPr>
              <w:wordWrap/>
              <w:spacing w:before="0" w:after="0" w:line="240" w:lineRule="auto"/>
              <w:ind w:left="425" w:leftChars="0" w:right="0" w:hanging="425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(20)提供3年 7*24 小时原厂标准服务；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widowControl/>
              <w:wordWrap/>
              <w:spacing w:before="0" w:after="0" w:line="360" w:lineRule="auto"/>
              <w:ind w:left="0" w:leftChars="0" w:right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1套</w:t>
            </w:r>
          </w:p>
        </w:tc>
      </w:tr>
    </w:tbl>
    <w:p>
      <w:pPr>
        <w:numPr>
          <w:ilvl w:val="0"/>
          <w:numId w:val="2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ascii="FangSong_GB2312" w:hAnsi="FangSong_GB2312" w:eastAsia="FangSong_GB2312" w:cs="FangSong_GB2312"/>
          <w:color w:val="000000"/>
          <w:kern w:val="0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本项目实施主要工作为：各设备上架调试、系统集成等软硬件安装工作，同时必须结合医院现有设备及应用情况，实施现有及本项目规划、等保安全、系统集成、数据迁移、存储迁移、协助完成医院评审工作包括但不限于三级等保评审、电子病历评审、互联互通评审等各项工作；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为保障影像业务访问的连续性、减轻数据流转时核心网络压力，交付时应对分布式存储系统搭建必要的、满足性能要求的、冗余的万兆光纤以太网络，包含交付所必须的光模块及光纤跳线等辅材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本预算价应包含设备价格、实施费用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需按用户实际要求提供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符合相关规范及性能要求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的光纤跳线、网线、机柜（含PDU）等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，机柜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线路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整理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所需辅材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相关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设备接地服务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、集成费用及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  <w:lang w:val="en-US" w:eastAsia="zh-CN"/>
        </w:rPr>
        <w:t>约定</w:t>
      </w:r>
      <w:r>
        <w:rPr>
          <w:rFonts w:hint="eastAsia" w:ascii="FangSong_GB2312" w:hAnsi="FangSong_GB2312" w:eastAsia="FangSong_GB2312" w:cs="FangSong_GB2312"/>
          <w:color w:val="000000"/>
          <w:kern w:val="0"/>
          <w:sz w:val="32"/>
          <w:szCs w:val="32"/>
        </w:rPr>
        <w:t>保修期内（扩容设备随主机保修）的维修及服务费用等，本预算价为含税开票价格。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三年内免费实施国家、省市政策性要求，包含但不限于配合完成国产化改造涉及的数据迁移、设备虚拟化平台迁移等工作。</w:t>
      </w:r>
    </w:p>
    <w:p>
      <w:pPr>
        <w:widowControl/>
        <w:numPr>
          <w:ilvl w:val="0"/>
          <w:numId w:val="3"/>
        </w:numPr>
        <w:spacing w:line="315" w:lineRule="atLeas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本项目系统安装调试并经验收合格后，应对采购方的相关人员提供关于系统应用时技术和操作方面的培训。相关培训费用应包含在投标总价中。</w:t>
      </w:r>
    </w:p>
    <w:p>
      <w:pPr>
        <w:pStyle w:val="11"/>
        <w:widowControl w:val="0"/>
        <w:numPr>
          <w:ilvl w:val="0"/>
          <w:numId w:val="2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numPr>
          <w:ilvl w:val="0"/>
          <w:numId w:val="4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>
      <w:pPr>
        <w:pStyle w:val="11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提供业绩清单及近3年省内同类项目中标书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>
      <w:pPr>
        <w:pStyle w:val="11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8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>
      <w:pPr>
        <w:pStyle w:val="11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>
      <w:pPr>
        <w:pStyle w:val="11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  <w:bookmarkEnd w:id="1"/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rect id="Quad Arrow 1025" o:spid="_x0000_s4097" o:spt="1" style="position:absolute;left:0pt;margin-top:0pt;height:12.8pt;width:5.35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62FCE"/>
    <w:multiLevelType w:val="singleLevel"/>
    <w:tmpl w:val="C1562FC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1D9C2BF"/>
    <w:multiLevelType w:val="singleLevel"/>
    <w:tmpl w:val="D1D9C2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lNzZiNjE1N2NiNDY1MjdjNTllOWUxMWU4Y2ZiZGQifQ=="/>
    <w:docVar w:name="KSO_WPS_MARK_KEY" w:val="e79ade7c-cd0d-472e-b75d-b7fec01ad7f8"/>
  </w:docVars>
  <w:rsids>
    <w:rsidRoot w:val="00000000"/>
    <w:rsid w:val="006513D9"/>
    <w:rsid w:val="058966AC"/>
    <w:rsid w:val="18290286"/>
    <w:rsid w:val="193E200C"/>
    <w:rsid w:val="3C6C7DE2"/>
    <w:rsid w:val="7E0326CF"/>
    <w:rsid w:val="7E816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99"/>
    <w:rPr>
      <w:rFonts w:ascii="仿宋_GB2312" w:eastAsia="仿宋_GB2312"/>
      <w:sz w:val="32"/>
    </w:rPr>
  </w:style>
  <w:style w:type="paragraph" w:customStyle="1" w:styleId="5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paragraph" w:customStyle="1" w:styleId="11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5">
    <w:name w:val="font11"/>
    <w:basedOn w:val="9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2428</Words>
  <Characters>2805</Characters>
  <Lines>0</Lines>
  <Paragraphs>0</Paragraphs>
  <TotalTime>10</TotalTime>
  <ScaleCrop>false</ScaleCrop>
  <LinksUpToDate>false</LinksUpToDate>
  <CharactersWithSpaces>2960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蓝风</cp:lastModifiedBy>
  <cp:lastPrinted>2025-06-05T03:03:00Z</cp:lastPrinted>
  <dcterms:modified xsi:type="dcterms:W3CDTF">2025-06-25T07:19:15Z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B69531583D58480B8AE3D7BBB698CE4F_13</vt:lpwstr>
  </property>
  <property fmtid="{D5CDD505-2E9C-101B-9397-08002B2CF9AE}" pid="4" name="KSOTemplateDocerSaveRecord">
    <vt:lpwstr>eyJoZGlkIjoiMzcyYzQ4MzExOWIxM2ZmZWE3MDIzNjczNzVlZjFmOWYiLCJ1c2VySWQiOiIxNzAwODQwNTc2In0=</vt:lpwstr>
  </property>
</Properties>
</file>