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仿宋_GB2312" w:hAnsi="仿宋_GB2312" w:eastAsia="方正小标宋简体" w:cs="仿宋_GB2312"/>
          <w:b w:val="0"/>
          <w:kern w:val="2"/>
          <w:sz w:val="32"/>
          <w:szCs w:val="32"/>
        </w:rPr>
      </w:pPr>
      <w:r>
        <w:rPr>
          <w:rFonts w:hint="eastAsia" w:ascii="方正小标宋简体" w:hAnsi="方正小标宋简体" w:eastAsia="方正小标宋简体" w:cs="方正小标宋简体"/>
          <w:b w:val="0"/>
          <w:kern w:val="2"/>
          <w:szCs w:val="44"/>
        </w:rPr>
        <w:t>福建省肿瘤医院</w:t>
      </w:r>
      <w:r>
        <w:rPr>
          <w:rFonts w:hint="eastAsia" w:ascii="方正小标宋简体" w:hAnsi="方正小标宋简体" w:eastAsia="方正小标宋简体" w:cs="方正小标宋简体"/>
          <w:b w:val="0"/>
          <w:kern w:val="2"/>
          <w:szCs w:val="44"/>
          <w:lang w:val="en-US" w:eastAsia="zh-CN"/>
        </w:rPr>
        <w:t>采购</w:t>
      </w:r>
      <w:r>
        <w:rPr>
          <w:rFonts w:hint="eastAsia" w:ascii="方正小标宋简体" w:hAnsi="方正小标宋简体" w:eastAsia="方正小标宋简体" w:cs="方正小标宋简体"/>
          <w:b w:val="0"/>
          <w:kern w:val="2"/>
          <w:szCs w:val="44"/>
        </w:rPr>
        <w:t>调研公告</w:t>
      </w:r>
    </w:p>
    <w:p>
      <w:pPr>
        <w:widowControl/>
        <w:shd w:val="clear" w:color="auto" w:fill="FFFFFF"/>
        <w:adjustRightInd w:val="0"/>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8"/>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6"/>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  肿瘤大数据平台</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 2025 年</w:t>
            </w:r>
            <w:r>
              <w:rPr>
                <w:rFonts w:hint="eastAsia" w:ascii="仿宋_GB2312" w:hAnsi="仿宋_GB2312" w:eastAsia="仿宋_GB2312" w:cs="仿宋_GB2312"/>
                <w:color w:val="000000"/>
                <w:kern w:val="0"/>
                <w:sz w:val="32"/>
                <w:szCs w:val="32"/>
                <w:u w:val="single"/>
              </w:rPr>
              <w:t xml:space="preserve"> 6 </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u w:val="single"/>
                <w:lang w:val="en-US" w:eastAsia="zh-CN"/>
              </w:rPr>
              <w:t>24</w:t>
            </w:r>
            <w:r>
              <w:rPr>
                <w:rFonts w:hint="eastAsia" w:ascii="仿宋_GB2312" w:hAnsi="仿宋_GB2312" w:eastAsia="仿宋_GB2312" w:cs="仿宋_GB2312"/>
                <w:color w:val="000000"/>
                <w:kern w:val="0"/>
                <w:sz w:val="32"/>
                <w:szCs w:val="32"/>
              </w:rPr>
              <w:t xml:space="preserve">日至 </w:t>
            </w:r>
            <w:r>
              <w:rPr>
                <w:rFonts w:hint="eastAsia" w:ascii="仿宋_GB2312" w:hAnsi="仿宋_GB2312" w:eastAsia="仿宋_GB2312" w:cs="仿宋_GB2312"/>
                <w:color w:val="000000"/>
                <w:kern w:val="0"/>
                <w:sz w:val="32"/>
                <w:szCs w:val="32"/>
                <w:u w:val="single"/>
              </w:rPr>
              <w:t xml:space="preserve">6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30</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(节假日除外)8：00-12：00或14：30-17：30(北京时间）</w:t>
            </w:r>
          </w:p>
          <w:p>
            <w:pPr>
              <w:widowControl/>
              <w:spacing w:line="360" w:lineRule="auto"/>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2025 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7</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u w:val="single"/>
                <w:lang w:val="en-US" w:eastAsia="zh-CN"/>
              </w:rPr>
              <w:t>9</w:t>
            </w:r>
            <w:r>
              <w:rPr>
                <w:rFonts w:hint="eastAsia" w:ascii="仿宋_GB2312" w:hAnsi="仿宋_GB2312" w:eastAsia="仿宋_GB2312" w:cs="仿宋_GB2312"/>
                <w:color w:val="000000"/>
                <w:kern w:val="0"/>
                <w:sz w:val="32"/>
                <w:szCs w:val="32"/>
              </w:rPr>
              <w:t>日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投标文件正本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投标文件递交处：福建省肿瘤医院网络技术中心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60" w:lineRule="auto"/>
        <w:rPr>
          <w:rFonts w:hint="eastAsia" w:ascii="仿宋_GB2312" w:hAnsi="仿宋_GB2312" w:eastAsia="仿宋_GB2312" w:cs="仿宋_GB2312"/>
          <w:bCs/>
          <w:color w:val="000000"/>
          <w:kern w:val="0"/>
          <w:sz w:val="32"/>
          <w:szCs w:val="32"/>
          <w:shd w:val="clear" w:color="auto" w:fill="FFFFFF"/>
        </w:rPr>
      </w:pPr>
    </w:p>
    <w:p>
      <w:pPr>
        <w:widowControl/>
        <w:shd w:val="clear" w:color="auto" w:fill="FFFFFF"/>
        <w:spacing w:line="360" w:lineRule="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widowControl/>
        <w:shd w:val="clear" w:color="auto" w:fill="FFFFFF"/>
        <w:spacing w:line="360" w:lineRule="auto"/>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widowControl/>
        <w:shd w:val="clear" w:color="auto" w:fill="FFFFFF"/>
        <w:spacing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pPr>
        <w:widowControl/>
        <w:shd w:val="clear" w:color="auto" w:fill="FFFFFF"/>
        <w:spacing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w:t>
      </w:r>
      <w:bookmarkStart w:id="2" w:name="_GoBack"/>
      <w:bookmarkEnd w:id="2"/>
      <w:r>
        <w:rPr>
          <w:rFonts w:hint="eastAsia" w:ascii="仿宋_GB2312" w:hAnsi="仿宋_GB2312" w:eastAsia="仿宋_GB2312" w:cs="仿宋_GB2312"/>
          <w:bCs/>
          <w:color w:val="000000"/>
          <w:kern w:val="0"/>
          <w:sz w:val="32"/>
          <w:szCs w:val="32"/>
          <w:shd w:val="clear" w:color="auto" w:fill="FFFFFF"/>
        </w:rPr>
        <w:t>-83660063-8822</w:t>
      </w:r>
    </w:p>
    <w:p>
      <w:pPr>
        <w:widowControl/>
        <w:shd w:val="clear" w:color="auto" w:fill="FFFFFF"/>
        <w:spacing w:line="360" w:lineRule="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联系人： </w:t>
      </w:r>
      <w:r>
        <w:rPr>
          <w:rFonts w:hint="eastAsia" w:ascii="仿宋_GB2312" w:hAnsi="仿宋_GB2312" w:eastAsia="仿宋_GB2312" w:cs="仿宋_GB2312"/>
          <w:bCs/>
          <w:color w:val="000000"/>
          <w:kern w:val="0"/>
          <w:sz w:val="32"/>
          <w:szCs w:val="32"/>
          <w:shd w:val="clear" w:color="auto" w:fill="FFFFFF"/>
          <w:lang w:val="en-US" w:eastAsia="zh-CN"/>
        </w:rPr>
        <w:t>张工、</w:t>
      </w:r>
      <w:r>
        <w:rPr>
          <w:rFonts w:hint="eastAsia" w:ascii="仿宋_GB2312" w:hAnsi="仿宋_GB2312" w:eastAsia="仿宋_GB2312" w:cs="仿宋_GB2312"/>
          <w:bCs/>
          <w:color w:val="000000"/>
          <w:kern w:val="0"/>
          <w:sz w:val="32"/>
          <w:szCs w:val="32"/>
          <w:shd w:val="clear" w:color="auto" w:fill="FFFFFF"/>
        </w:rPr>
        <w:t>郑工</w:t>
      </w:r>
    </w:p>
    <w:p>
      <w:pPr>
        <w:pStyle w:val="12"/>
        <w:spacing w:line="360" w:lineRule="auto"/>
        <w:rPr>
          <w:rFonts w:hint="eastAsia" w:ascii="仿宋_GB2312" w:hAnsi="仿宋_GB2312" w:cs="仿宋_GB2312"/>
          <w:sz w:val="32"/>
          <w:szCs w:val="32"/>
        </w:rPr>
      </w:pPr>
      <w:r>
        <w:rPr>
          <w:rFonts w:hint="eastAsia" w:ascii="仿宋_GB2312" w:hAnsi="仿宋_GB2312" w:cs="仿宋_GB2312"/>
          <w:sz w:val="32"/>
          <w:szCs w:val="32"/>
        </w:rPr>
        <w:br w:type="page"/>
      </w:r>
    </w:p>
    <w:p>
      <w:pPr>
        <w:widowControl/>
        <w:shd w:val="clear" w:color="auto" w:fill="FFFFFF"/>
        <w:adjustRightInd w:val="0"/>
        <w:snapToGrid w:val="0"/>
        <w:spacing w:line="360" w:lineRule="auto"/>
        <w:ind w:firstLine="420"/>
        <w:jc w:val="center"/>
        <w:rPr>
          <w:rFonts w:hint="eastAsia"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widowControl/>
        <w:shd w:val="clear" w:color="auto" w:fill="FFFFFF"/>
        <w:spacing w:line="360" w:lineRule="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一、采购内容</w:t>
      </w:r>
    </w:p>
    <w:tbl>
      <w:tblPr>
        <w:tblStyle w:val="8"/>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7"/>
        <w:gridCol w:w="3178"/>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7" w:type="dxa"/>
            <w:vAlign w:val="center"/>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合同包</w:t>
            </w:r>
          </w:p>
        </w:tc>
        <w:tc>
          <w:tcPr>
            <w:tcW w:w="3178" w:type="dxa"/>
            <w:vAlign w:val="center"/>
          </w:tcPr>
          <w:p>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名 称</w:t>
            </w:r>
          </w:p>
        </w:tc>
        <w:tc>
          <w:tcPr>
            <w:tcW w:w="1590" w:type="dxa"/>
            <w:vAlign w:val="center"/>
          </w:tcPr>
          <w:p>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数量</w:t>
            </w:r>
          </w:p>
        </w:tc>
        <w:tc>
          <w:tcPr>
            <w:tcW w:w="1894" w:type="dxa"/>
            <w:vAlign w:val="center"/>
          </w:tcPr>
          <w:p>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exact"/>
        </w:trPr>
        <w:tc>
          <w:tcPr>
            <w:tcW w:w="2697" w:type="dxa"/>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p>
        </w:tc>
        <w:tc>
          <w:tcPr>
            <w:tcW w:w="3178" w:type="dxa"/>
            <w:vAlign w:val="center"/>
          </w:tcPr>
          <w:p>
            <w:pPr>
              <w:widowControl/>
              <w:spacing w:line="360"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肿瘤大数据平台</w:t>
            </w:r>
          </w:p>
        </w:tc>
        <w:tc>
          <w:tcPr>
            <w:tcW w:w="1590" w:type="dxa"/>
            <w:vAlign w:val="center"/>
          </w:tcPr>
          <w:p>
            <w:pPr>
              <w:autoSpaceDN w:val="0"/>
              <w:spacing w:line="360" w:lineRule="auto"/>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 xml:space="preserve"> 1</w:t>
            </w:r>
          </w:p>
        </w:tc>
        <w:tc>
          <w:tcPr>
            <w:tcW w:w="1894" w:type="dxa"/>
            <w:vAlign w:val="center"/>
          </w:tcPr>
          <w:p>
            <w:pPr>
              <w:autoSpaceDN w:val="0"/>
              <w:spacing w:line="360" w:lineRule="auto"/>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 xml:space="preserve"> 150</w:t>
            </w:r>
          </w:p>
        </w:tc>
      </w:tr>
    </w:tbl>
    <w:p/>
    <w:p>
      <w:pPr>
        <w:keepNext/>
        <w:widowControl/>
        <w:shd w:val="clear" w:color="auto" w:fill="FFFFFF"/>
        <w:autoSpaceDE w:val="0"/>
        <w:spacing w:line="360" w:lineRule="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w:t>
      </w:r>
    </w:p>
    <w:p>
      <w:pPr>
        <w:pStyle w:val="12"/>
        <w:spacing w:line="360" w:lineRule="auto"/>
        <w:rPr>
          <w:rFonts w:hint="eastAsia" w:ascii="仿宋_GB2312" w:hAnsi="仿宋_GB2312" w:cs="仿宋_GB2312"/>
          <w:sz w:val="32"/>
          <w:szCs w:val="32"/>
        </w:rPr>
      </w:pPr>
      <w:r>
        <w:rPr>
          <w:rFonts w:hint="eastAsia" w:ascii="仿宋_GB2312" w:hAnsi="仿宋_GB2312" w:cs="仿宋_GB2312"/>
          <w:sz w:val="32"/>
          <w:szCs w:val="32"/>
        </w:rPr>
        <w:t>1、合同包（一）</w:t>
      </w:r>
    </w:p>
    <w:tbl>
      <w:tblPr>
        <w:tblStyle w:val="9"/>
        <w:tblW w:w="9002"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977"/>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序号</w:t>
            </w:r>
          </w:p>
        </w:tc>
        <w:tc>
          <w:tcPr>
            <w:tcW w:w="1977"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项目</w:t>
            </w:r>
          </w:p>
        </w:tc>
        <w:tc>
          <w:tcPr>
            <w:tcW w:w="5975" w:type="dxa"/>
            <w:vAlign w:val="center"/>
          </w:tcPr>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977"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元数据管理</w:t>
            </w:r>
          </w:p>
        </w:tc>
        <w:tc>
          <w:tcPr>
            <w:tcW w:w="5975" w:type="dxa"/>
          </w:tcPr>
          <w:p>
            <w:pPr>
              <w:spacing w:line="36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提供元数据的创建、删除、检索、上传下载等功能，支持元数据设计、术语服务集成、分类管理及多种检索方式（关键词检索、全文检索等），确保元数据功能完整且覆盖标准。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977"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大数据治理模型管理</w:t>
            </w:r>
          </w:p>
        </w:tc>
        <w:tc>
          <w:tcPr>
            <w:tcW w:w="5975" w:type="dxa"/>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支持数据建模空间管理、医疗数据模型设计、模型差异稽核、变更管控及版本管理，提供模板编辑和导入导出功能，确保数据模型与架构一致，提升数据质量。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977"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大数据平台存储管理</w:t>
            </w:r>
          </w:p>
        </w:tc>
        <w:tc>
          <w:tcPr>
            <w:tcW w:w="5975" w:type="dxa"/>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实现模型转化为关系数据库的能力，支持临床信息数据库建设、数据分层架构设计及专科专病数据仓库建设，具备数据量监控和异常数据检测功能。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977"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大数据集成抽取引擎</w:t>
            </w:r>
          </w:p>
        </w:tc>
        <w:tc>
          <w:tcPr>
            <w:tcW w:w="5975" w:type="dxa"/>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支持对接（如HIS、LIS、EMR、PACS、样本、随访等）院内系统，支持包括Oracle全系列、SQL server全系列、DB2系列、Mango DB系列、MYSQL系列数据库、</w:t>
            </w:r>
            <w:r>
              <w:rPr>
                <w:rFonts w:hint="default" w:ascii="仿宋_GB2312" w:hAnsi="仿宋_GB2312" w:eastAsia="仿宋_GB2312" w:cs="仿宋_GB2312"/>
                <w:sz w:val="28"/>
                <w:szCs w:val="28"/>
                <w:lang w:val="en-US"/>
              </w:rPr>
              <w:t>P</w:t>
            </w:r>
            <w:r>
              <w:rPr>
                <w:rFonts w:hint="eastAsia" w:ascii="仿宋_GB2312" w:hAnsi="仿宋_GB2312" w:eastAsia="仿宋_GB2312" w:cs="仿宋_GB2312"/>
                <w:sz w:val="28"/>
                <w:szCs w:val="28"/>
              </w:rPr>
              <w:t>ostgreSql系列、cache系列等主流数据库全量和增量采集，支持数据同步、</w:t>
            </w:r>
            <w:r>
              <w:rPr>
                <w:rFonts w:hint="eastAsia" w:ascii="仿宋_GB2312" w:hAnsi="仿宋_GB2312" w:eastAsia="仿宋_GB2312" w:cs="仿宋_GB2312"/>
                <w:sz w:val="28"/>
                <w:szCs w:val="28"/>
                <w:lang w:val="en-US" w:eastAsia="zh-CN"/>
              </w:rPr>
              <w:t>数据存储、</w:t>
            </w:r>
            <w:r>
              <w:rPr>
                <w:rFonts w:hint="eastAsia" w:ascii="仿宋_GB2312" w:hAnsi="仿宋_GB2312" w:eastAsia="仿宋_GB2312" w:cs="仿宋_GB2312"/>
                <w:sz w:val="28"/>
                <w:szCs w:val="28"/>
              </w:rPr>
              <w:t>数据备份、集成接口等数据采集方式。提供可视化集成开发功能，支持多种数据源连接（如TCP/IP、HL7等）、消息中间件能力及数据采集功能，确保数据完整性和一致性，支持结构化和非结构化数据处理。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977" w:type="dxa"/>
          </w:tcPr>
          <w:p>
            <w:pPr>
              <w:spacing w:line="360" w:lineRule="exact"/>
              <w:jc w:val="center"/>
              <w:rPr>
                <w:rFonts w:hint="eastAsia" w:ascii="仿宋_GB2312" w:hAnsi="仿宋_GB2312" w:eastAsia="仿宋_GB2312" w:cs="仿宋_GB2312"/>
                <w:sz w:val="28"/>
                <w:szCs w:val="28"/>
              </w:rPr>
            </w:pPr>
            <w:bookmarkStart w:id="0" w:name="OLE_LINK4"/>
            <w:r>
              <w:rPr>
                <w:rFonts w:hint="eastAsia" w:ascii="仿宋_GB2312" w:hAnsi="仿宋_GB2312" w:eastAsia="仿宋_GB2312" w:cs="仿宋_GB2312"/>
                <w:sz w:val="28"/>
                <w:szCs w:val="28"/>
              </w:rPr>
              <w:t>大数据质量规则管理</w:t>
            </w:r>
            <w:bookmarkEnd w:id="0"/>
          </w:p>
        </w:tc>
        <w:tc>
          <w:tcPr>
            <w:tcW w:w="5975" w:type="dxa"/>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管理数据质量规则，按完整性、合理性等维度分类，支持规则自动同步、自定义规则项及手动同步，提供规则推荐功能，确保数据质量可控。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977"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数据质量评估</w:t>
            </w:r>
          </w:p>
        </w:tc>
        <w:tc>
          <w:tcPr>
            <w:tcW w:w="5975" w:type="dxa"/>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支持评估任务定制、执行流程管理及结果报告生成，提供数据质量评分和治理建议，支持通过邮件、短信等方式发送预警信息，能全程对数据质量进行有效的监督、控制和追溯。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977"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大数据治理</w:t>
            </w:r>
          </w:p>
        </w:tc>
        <w:tc>
          <w:tcPr>
            <w:tcW w:w="5975" w:type="dxa"/>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映射到通用数据模型的数据进行数据清洗，包括：数据格式不规范、数据缺失、数据重复、数据编码无对应、超出数据值域等问题，实现治理任务管理、数据搜索、清理和调整功能，支持数据输出到文件或数据库，提供工具箱调用（如术语映射、脚本等），确保数据治理流程高效。参照行业标准库，对采集数据自动进行统一的标准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977"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肿瘤数据子集建设</w:t>
            </w:r>
          </w:p>
        </w:tc>
        <w:tc>
          <w:tcPr>
            <w:tcW w:w="5975" w:type="dxa"/>
          </w:tcPr>
          <w:p>
            <w:pPr>
              <w:spacing w:line="360" w:lineRule="exact"/>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针对肝癌、宫颈癌、胃癌、肺癌、乳腺癌、结直肠癌、黑色素瘤、甲状腺癌、食管癌、前列腺癌、鼻咽癌等病种构建数据子集，数据子集分为基础数据集和专病个性化数据集。</w:t>
            </w:r>
          </w:p>
          <w:p>
            <w:pPr>
              <w:spacing w:line="360" w:lineRule="exact"/>
              <w:rPr>
                <w:rFonts w:hint="eastAsia" w:ascii="仿宋_GB2312" w:hAnsi="仿宋_GB2312" w:eastAsia="仿宋_GB2312" w:cs="仿宋_GB2312"/>
                <w:sz w:val="28"/>
                <w:szCs w:val="28"/>
                <w:shd w:val="clear" w:color="auto" w:fill="auto"/>
                <w:lang w:eastAsia="zh-CN"/>
              </w:rPr>
            </w:pPr>
            <w:r>
              <w:rPr>
                <w:rFonts w:hint="eastAsia" w:ascii="仿宋_GB2312" w:hAnsi="仿宋_GB2312" w:eastAsia="仿宋_GB2312" w:cs="仿宋_GB2312"/>
                <w:sz w:val="28"/>
                <w:szCs w:val="28"/>
                <w:shd w:val="clear" w:color="auto" w:fill="auto"/>
              </w:rPr>
              <w:t>基础数据集通过数据自动采集、自动加工处理，根据制定的知识图谱建立，适配大多数病种的共通维度，包含了人口信息、就诊信息、入院记录、临床诊断、手术操作信息、检验信息、影像检查信息、病理检查信息、医嘱信息、医疗文书信息、肿瘤治疗信息、随访信息、不良反应情况等子集</w:t>
            </w:r>
            <w:r>
              <w:rPr>
                <w:rFonts w:hint="eastAsia" w:ascii="仿宋_GB2312" w:hAnsi="仿宋_GB2312" w:eastAsia="仿宋_GB2312" w:cs="仿宋_GB2312"/>
                <w:sz w:val="28"/>
                <w:szCs w:val="28"/>
                <w:shd w:val="clear" w:color="auto" w:fill="auto"/>
                <w:lang w:eastAsia="zh-CN"/>
              </w:rPr>
              <w:t>。</w:t>
            </w:r>
          </w:p>
          <w:p>
            <w:pPr>
              <w:spacing w:line="360" w:lineRule="exact"/>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shd w:val="clear" w:color="auto" w:fill="auto"/>
              </w:rPr>
              <w:t>专病个性化数据集为每个病种的特色维度，需要根据病种进行特殊处理，可根据医生需求定制，每个子集有特殊的维度需进行结构化处理，既结构化需要根据专病定制。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977"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病例全息视图</w:t>
            </w:r>
          </w:p>
        </w:tc>
        <w:tc>
          <w:tcPr>
            <w:tcW w:w="5975" w:type="dxa"/>
          </w:tcPr>
          <w:p>
            <w:pPr>
              <w:spacing w:line="360" w:lineRule="exact"/>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基于肿瘤大数据平台、并以患者为核心建立患者全息视图，对患者信息、患者诊疗信息、患者临床信息等数据进行图形化界面的管理和浏览，从而充分了解和掌握患者从入院到出院所有历史医疗数据和信息，提高科研工作的质量和效率。   支持以患者为核心，整合诊疗、临床等数据，提供时间轴视图、全息视图和摘要视图，支持图形化管理和多院区应用，便于科研和临床使用。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977" w:type="dxa"/>
          </w:tcPr>
          <w:p>
            <w:pPr>
              <w:spacing w:line="360" w:lineRule="exact"/>
              <w:jc w:val="center"/>
              <w:rPr>
                <w:rFonts w:hint="eastAsia" w:ascii="仿宋_GB2312" w:hAnsi="仿宋_GB2312" w:eastAsia="仿宋_GB2312" w:cs="仿宋_GB2312"/>
                <w:sz w:val="28"/>
                <w:szCs w:val="28"/>
              </w:rPr>
            </w:pPr>
            <w:bookmarkStart w:id="1" w:name="OLE_LINK5"/>
            <w:r>
              <w:rPr>
                <w:rFonts w:hint="eastAsia" w:ascii="仿宋_GB2312" w:hAnsi="仿宋_GB2312" w:eastAsia="仿宋_GB2312" w:cs="仿宋_GB2312"/>
                <w:sz w:val="28"/>
                <w:szCs w:val="28"/>
              </w:rPr>
              <w:t>大数据检索系统</w:t>
            </w:r>
            <w:bookmarkEnd w:id="1"/>
          </w:p>
        </w:tc>
        <w:tc>
          <w:tcPr>
            <w:tcW w:w="5975" w:type="dxa"/>
          </w:tcPr>
          <w:p>
            <w:pPr>
              <w:spacing w:line="360" w:lineRule="exact"/>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lang w:val="en-US" w:eastAsia="zh-CN"/>
              </w:rPr>
              <w:t>支持自定义检索条件（全文检索、拼音检索等）、组合检索和数据过滤，提供隐私安全设置（如脱敏处理）和日志审计功能，确保检索高效且安全。</w:t>
            </w:r>
          </w:p>
        </w:tc>
      </w:tr>
    </w:tbl>
    <w:p>
      <w:pPr>
        <w:spacing w:line="360" w:lineRule="auto"/>
        <w:rPr>
          <w:rFonts w:hint="eastAsia" w:ascii="仿宋_GB2312" w:hAnsi="仿宋_GB2312" w:eastAsia="仿宋_GB2312" w:cs="仿宋_GB2312"/>
          <w:b/>
          <w:bCs/>
          <w:sz w:val="32"/>
          <w:szCs w:val="32"/>
        </w:rPr>
      </w:pPr>
    </w:p>
    <w:p>
      <w:pPr>
        <w:numPr>
          <w:ilvl w:val="0"/>
          <w:numId w:val="1"/>
        </w:num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其他要求</w:t>
      </w:r>
    </w:p>
    <w:p>
      <w:pPr>
        <w:pStyle w:val="13"/>
        <w:numPr>
          <w:ilvl w:val="0"/>
          <w:numId w:val="2"/>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本项目系统须同时覆盖我院滨海院区，功能与技术要求与本部院区一致。应结合我院实际医疗及管理需要，对系统进行客户化修改，包括但不限于结合医院实际管理需求。</w:t>
      </w:r>
    </w:p>
    <w:p>
      <w:pPr>
        <w:pStyle w:val="13"/>
        <w:numPr>
          <w:ilvl w:val="0"/>
          <w:numId w:val="2"/>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本项目需符合国产化要求，必须配备正版的国产化操作系统、数据库、中间件及前端国产化工作站。同时本项目验收前须提供有资质的第三方公司开展的密码应用安全性测评、信息技术应用创新符合性测试，并提供相关的证明。暂时未能实现的，后续政策要求时不再另行收费，并在投标文件中出具承诺函。</w:t>
      </w:r>
    </w:p>
    <w:p>
      <w:pPr>
        <w:pStyle w:val="13"/>
        <w:numPr>
          <w:ilvl w:val="0"/>
          <w:numId w:val="2"/>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本项目需符合《信息安全技术网络安全等级保护基本要求》GB/T22239-2019（三级）要求（下文简称：三级等保2.0）及密码应用安全性评估，并在以上评审中协助完成本系统评审工作。</w:t>
      </w:r>
    </w:p>
    <w:p>
      <w:pPr>
        <w:pStyle w:val="13"/>
        <w:numPr>
          <w:ilvl w:val="0"/>
          <w:numId w:val="2"/>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内免费实施政策性国家、省市各平台的数据接口、数据上传等服务及免费实施国密改造、国产化改造，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13"/>
        <w:numPr>
          <w:ilvl w:val="0"/>
          <w:numId w:val="2"/>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本项目系统应提供与医院HIS，电子病历、危急值平台、报告平台、麻醉耗材、患者360（含HIS360、CDR360）等系统无缝集成接口，符合电子病历6级、医院的互联互通5级、智慧医院4级的建设要求。</w:t>
      </w:r>
    </w:p>
    <w:p>
      <w:pPr>
        <w:pStyle w:val="13"/>
        <w:numPr>
          <w:ilvl w:val="0"/>
          <w:numId w:val="2"/>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本项目为交钥匙工程，本项目系统与各业务系统及设备的数据接口由中标人自行负责。本项目涉及院内现有各业务系统接口的，采购人不再向中标人支付接口费用。</w:t>
      </w:r>
    </w:p>
    <w:p>
      <w:pPr>
        <w:pStyle w:val="13"/>
        <w:numPr>
          <w:ilvl w:val="0"/>
          <w:numId w:val="2"/>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3"/>
        <w:numPr>
          <w:ilvl w:val="0"/>
          <w:numId w:val="2"/>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根据国家《医院信息系统功能规范》第十二条以及国家信息化建设审计要求，必须提供完整的总体设计报告、需求分析说明书、上线测试报告、操作使用手册、系统维护手册等。</w:t>
      </w:r>
    </w:p>
    <w:p>
      <w:pPr>
        <w:pStyle w:val="13"/>
        <w:numPr>
          <w:ilvl w:val="0"/>
          <w:numId w:val="2"/>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3"/>
        <w:numPr>
          <w:ilvl w:val="0"/>
          <w:numId w:val="2"/>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3"/>
        <w:numPr>
          <w:ilvl w:val="0"/>
          <w:numId w:val="2"/>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与医院现有CA数字签名功能实现对接，满足医院各法规需要。</w:t>
      </w:r>
    </w:p>
    <w:p>
      <w:pPr>
        <w:pStyle w:val="13"/>
        <w:numPr>
          <w:ilvl w:val="0"/>
          <w:numId w:val="2"/>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本项目系统若需接入医院APP(实现院外移动端查询)，则中标人应提供H5接口，并支付相应接口费用（不超过3万元），是否需接入医院APP以项目验收时采购人需求为准。</w:t>
      </w:r>
    </w:p>
    <w:p>
      <w:pPr>
        <w:pStyle w:val="13"/>
        <w:numPr>
          <w:ilvl w:val="0"/>
          <w:numId w:val="2"/>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本项目系统在软件使用及维保有效期内，在每个使用科室使用的终端数量不受限制，数据不得加密，不得使用加密狗、打印加密、功能加密等任何软件使用约束。</w:t>
      </w:r>
    </w:p>
    <w:p>
      <w:pPr>
        <w:pStyle w:val="13"/>
        <w:numPr>
          <w:ilvl w:val="0"/>
          <w:numId w:val="2"/>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本项目软件部分按总价进行报价，不能以安装工作站数量进行报价。</w:t>
      </w:r>
    </w:p>
    <w:p>
      <w:pPr>
        <w:pStyle w:val="13"/>
        <w:numPr>
          <w:ilvl w:val="0"/>
          <w:numId w:val="2"/>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13"/>
        <w:numPr>
          <w:ilvl w:val="0"/>
          <w:numId w:val="2"/>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本项目软件版面色彩、风格等应按医院要求设计制作；软件标题只能出现医院logo及系统名称，不能出现公司名称，公司名称允许在帮助（help）的关于（about）中出现。具体版面另行通知。</w:t>
      </w:r>
    </w:p>
    <w:p>
      <w:pPr>
        <w:pStyle w:val="13"/>
        <w:numPr>
          <w:ilvl w:val="0"/>
          <w:numId w:val="2"/>
        </w:numPr>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本项目系统安装调试并经验收合格后，应对采购方的相关人员提供关于系统应用时技术和操作方面的培训。相关培训费用应包含在投标总价中。</w:t>
      </w:r>
    </w:p>
    <w:p>
      <w:pPr>
        <w:pStyle w:val="13"/>
        <w:spacing w:before="0" w:beforeAutospacing="0" w:after="0" w:afterAutospacing="0" w:line="360" w:lineRule="auto"/>
        <w:jc w:val="both"/>
        <w:rPr>
          <w:rFonts w:hint="eastAsia" w:ascii="仿宋_GB2312" w:hAnsi="仿宋_GB2312" w:eastAsia="仿宋_GB2312" w:cs="仿宋_GB2312"/>
          <w:sz w:val="32"/>
          <w:szCs w:val="32"/>
        </w:rPr>
      </w:pPr>
    </w:p>
    <w:p>
      <w:pPr>
        <w:pStyle w:val="12"/>
        <w:numPr>
          <w:ilvl w:val="0"/>
          <w:numId w:val="1"/>
        </w:numPr>
        <w:spacing w:line="360" w:lineRule="auto"/>
        <w:rPr>
          <w:rFonts w:hint="eastAsia"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autoSpaceDN w:val="0"/>
        <w:spacing w:line="360" w:lineRule="auto"/>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widowControl/>
        <w:numPr>
          <w:ilvl w:val="0"/>
          <w:numId w:val="3"/>
        </w:numPr>
        <w:spacing w:line="360" w:lineRule="auto"/>
        <w:ind w:firstLine="720" w:firstLineChars="200"/>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报名时请携带加盖公章的项目文件回执单、营业执照复印件、公司简介（可含</w:t>
      </w:r>
      <w:r>
        <w:rPr>
          <w:rFonts w:hint="eastAsia" w:ascii="仿宋_GB2312" w:hAnsi="仿宋_GB2312" w:eastAsia="仿宋_GB2312" w:cs="仿宋_GB2312"/>
          <w:bCs/>
          <w:sz w:val="36"/>
          <w:szCs w:val="36"/>
          <w:shd w:val="clear" w:color="auto" w:fill="FFFFFF"/>
        </w:rPr>
        <w:t>提供设备彩页等）</w:t>
      </w:r>
      <w:r>
        <w:rPr>
          <w:rFonts w:hint="eastAsia" w:ascii="仿宋_GB2312" w:hAnsi="仿宋_GB2312" w:eastAsia="仿宋_GB2312" w:cs="仿宋_GB2312"/>
          <w:color w:val="000000"/>
          <w:kern w:val="0"/>
          <w:sz w:val="36"/>
          <w:szCs w:val="36"/>
        </w:rPr>
        <w:t>。</w:t>
      </w:r>
    </w:p>
    <w:p>
      <w:pPr>
        <w:pStyle w:val="12"/>
        <w:spacing w:line="360" w:lineRule="auto"/>
      </w:pPr>
    </w:p>
    <w:p>
      <w:pPr>
        <w:widowControl/>
        <w:shd w:val="clear" w:color="auto" w:fill="FFFFFF"/>
        <w:spacing w:line="360" w:lineRule="auto"/>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spacing w:line="360" w:lineRule="auto"/>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2"/>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w:t>
      </w:r>
    </w:p>
    <w:p>
      <w:pPr>
        <w:pStyle w:val="12"/>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pPr>
        <w:pStyle w:val="12"/>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pPr>
        <w:pStyle w:val="12"/>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12"/>
        <w:spacing w:line="360" w:lineRule="auto"/>
        <w:rPr>
          <w:rFonts w:hint="eastAsia" w:ascii="仿宋_GB2312" w:hAnsi="仿宋_GB2312" w:cs="仿宋_GB2312"/>
          <w:sz w:val="32"/>
          <w:szCs w:val="32"/>
        </w:rPr>
      </w:pPr>
      <w:r>
        <w:rPr>
          <w:rFonts w:hint="eastAsia" w:ascii="仿宋_GB2312" w:hAnsi="仿宋_GB2312" w:cs="仿宋_GB2312"/>
          <w:sz w:val="32"/>
          <w:szCs w:val="32"/>
        </w:rPr>
        <w:br w:type="page"/>
      </w:r>
    </w:p>
    <w:p>
      <w:pPr>
        <w:shd w:val="solid" w:color="FFFFFF" w:fill="auto"/>
        <w:autoSpaceDN w:val="0"/>
        <w:spacing w:line="360" w:lineRule="auto"/>
        <w:jc w:val="center"/>
        <w:rPr>
          <w:rFonts w:hint="eastAsia" w:ascii="仿宋_GB2312" w:hAnsi="仿宋_GB2312" w:eastAsia="仿宋_GB2312" w:cs="仿宋_GB2312"/>
          <w:b/>
          <w:color w:val="000000"/>
          <w:sz w:val="32"/>
          <w:szCs w:val="32"/>
          <w:shd w:val="clear" w:color="auto" w:fill="FFFFFF"/>
        </w:rPr>
      </w:pPr>
    </w:p>
    <w:p>
      <w:pPr>
        <w:shd w:val="solid" w:color="FFFFFF" w:fill="auto"/>
        <w:autoSpaceDN w:val="0"/>
        <w:spacing w:line="360" w:lineRule="auto"/>
        <w:jc w:val="center"/>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Style w:val="8"/>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p>
        </w:tc>
      </w:tr>
    </w:tbl>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pPr>
        <w:pStyle w:val="12"/>
        <w:spacing w:line="360" w:lineRule="auto"/>
        <w:rPr>
          <w:rFonts w:hint="eastAsia" w:ascii="仿宋_GB2312" w:hAnsi="仿宋_GB2312" w:cs="仿宋_GB2312"/>
          <w:bCs/>
          <w:sz w:val="32"/>
          <w:szCs w:val="32"/>
          <w:shd w:val="clear" w:color="auto" w:fill="FFFFFF"/>
        </w:rPr>
      </w:pPr>
    </w:p>
    <w:p>
      <w:pPr>
        <w:pStyle w:val="12"/>
        <w:spacing w:line="360" w:lineRule="auto"/>
        <w:rPr>
          <w:rFonts w:hint="eastAsia" w:ascii="仿宋_GB2312" w:hAnsi="仿宋_GB2312" w:cs="仿宋_GB2312"/>
          <w:sz w:val="32"/>
          <w:szCs w:val="32"/>
        </w:rPr>
      </w:pPr>
      <w:r>
        <w:rPr>
          <w:rFonts w:hint="eastAsia" w:ascii="仿宋_GB2312" w:hAnsi="仿宋_GB2312" w:cs="仿宋_GB2312"/>
          <w:sz w:val="32"/>
          <w:szCs w:val="32"/>
        </w:rPr>
        <w:t xml:space="preserve">                                        福建省肿瘤医院</w:t>
      </w:r>
    </w:p>
    <w:p>
      <w:pPr>
        <w:pStyle w:val="12"/>
        <w:spacing w:line="360" w:lineRule="auto"/>
        <w:rPr>
          <w:rFonts w:hint="eastAsia" w:ascii="仿宋_GB2312" w:hAnsi="仿宋_GB2312" w:cs="仿宋_GB2312"/>
          <w:sz w:val="32"/>
          <w:szCs w:val="32"/>
        </w:rPr>
      </w:pPr>
      <w:r>
        <w:rPr>
          <w:rFonts w:hint="eastAsia" w:ascii="仿宋_GB2312" w:hAnsi="仿宋_GB2312" w:cs="仿宋_GB2312"/>
          <w:sz w:val="32"/>
          <w:szCs w:val="32"/>
        </w:rPr>
        <w:t xml:space="preserve">                                           年  月  日</w:t>
      </w:r>
    </w:p>
    <w:p/>
    <w:sectPr>
      <w:footerReference r:id="rId3" w:type="default"/>
      <w:pgSz w:w="12240" w:h="15840"/>
      <w:pgMar w:top="1417" w:right="1587" w:bottom="1417"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Quad Arrow 1025"/>
              <wp:cNvGraphicFramePr/>
              <a:graphic xmlns:a="http://schemas.openxmlformats.org/drawingml/2006/main">
                <a:graphicData uri="http://schemas.microsoft.com/office/word/2010/wordprocessingShape">
                  <wps:wsp>
                    <wps:cNvSpPr/>
                    <wps:spPr>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Quad Arrow 1025" o:spid="_x0000_s1026" o:spt="1"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A8wXDbvQEAAJADAAAOAAAAZHJzL2Uyb0RvYy54bWytU02P0zAQvSPx&#10;HyzfaZKKFoiarlaqFiEhWLTwA1zHaSz5SzNOk/57xk7aheWyBy7JeDx5896bye5usoadFaD2ruHV&#10;quRMOelb7U4N//Xz4d1HzjAK1wrjnWr4RSG/2799sxtDrda+96ZVwAjEYT2GhvcxhrooUPbKClz5&#10;oBxddh6siHSEU9GCGAndmmJdltti9NAG8FIhUvYwX/IFEV4D6LtOS3XwcrDKxRkVlBGRJGGvA/J9&#10;Ztt1SsbvXYcqMtNwUhrzk5pQfEzPYr8T9QlE6LVcKIjXUHihyQrtqOkN6iCiYAPof6CsluDRd3El&#10;vS1mIdkRUlGVL7x56kVQWQtZjeFmOv4/WPnt/AhMt7QJnDlhaeA/BtGyewA/sqpcb5JFY8CaKp/C&#10;IywnpDDpnTqw6U1K2JRtvdxsVVNkkpLbD5/ebziTdFNt15ttdr14/jYAxs/KW5aChgMNLXspzl8x&#10;Uj8qvZakVs4/aGPy4Iz7K0GFKVMkujPBFMXpOC2sj769kNyR5t1wR+vNmfniyM60GtcArsHxGgwB&#10;9KknalXmheF+iEQic0sdZtilMQ0qU16WKm3Cn+dc9fwj7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FpMj9EAAAADAQAADwAAAAAAAAABACAAAAAiAAAAZHJzL2Rvd25yZXYueG1sUEsBAhQAFAAA&#10;AAgAh07iQDzBcNu9AQAAkAMAAA4AAAAAAAAAAQAgAAAAIA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F8FCB"/>
    <w:multiLevelType w:val="singleLevel"/>
    <w:tmpl w:val="942F8FCB"/>
    <w:lvl w:ilvl="0" w:tentative="0">
      <w:start w:val="1"/>
      <w:numFmt w:val="decimal"/>
      <w:suff w:val="nothing"/>
      <w:lvlText w:val="%1、"/>
      <w:lvlJc w:val="left"/>
    </w:lvl>
  </w:abstractNum>
  <w:abstractNum w:abstractNumId="1">
    <w:nsid w:val="53551602"/>
    <w:multiLevelType w:val="singleLevel"/>
    <w:tmpl w:val="53551602"/>
    <w:lvl w:ilvl="0" w:tentative="0">
      <w:start w:val="3"/>
      <w:numFmt w:val="chineseCounting"/>
      <w:suff w:val="nothing"/>
      <w:lvlText w:val="%1、"/>
      <w:lvlJc w:val="left"/>
      <w:rPr>
        <w:rFonts w:hint="eastAsia"/>
      </w:rPr>
    </w:lvl>
  </w:abstractNum>
  <w:abstractNum w:abstractNumId="2">
    <w:nsid w:val="67B4397F"/>
    <w:multiLevelType w:val="singleLevel"/>
    <w:tmpl w:val="67B4397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NzZiNjE1N2NiNDY1MjdjNTllOWUxMWU4Y2ZiZGQifQ=="/>
  </w:docVars>
  <w:rsids>
    <w:rsidRoot w:val="003E746A"/>
    <w:rsid w:val="003E746A"/>
    <w:rsid w:val="008368CF"/>
    <w:rsid w:val="009278D1"/>
    <w:rsid w:val="00B7053D"/>
    <w:rsid w:val="00C278CC"/>
    <w:rsid w:val="00D2760A"/>
    <w:rsid w:val="00E852DA"/>
    <w:rsid w:val="00FF177E"/>
    <w:rsid w:val="031B55B3"/>
    <w:rsid w:val="0D954BE8"/>
    <w:rsid w:val="0E782A66"/>
    <w:rsid w:val="13C42198"/>
    <w:rsid w:val="14AE30D9"/>
    <w:rsid w:val="15C3312C"/>
    <w:rsid w:val="1E95634A"/>
    <w:rsid w:val="2D08798C"/>
    <w:rsid w:val="2DC15E45"/>
    <w:rsid w:val="2FD51B22"/>
    <w:rsid w:val="31C8341C"/>
    <w:rsid w:val="3A394FD8"/>
    <w:rsid w:val="483B0E27"/>
    <w:rsid w:val="493778DE"/>
    <w:rsid w:val="4CF5B425"/>
    <w:rsid w:val="501954ED"/>
    <w:rsid w:val="54653A5E"/>
    <w:rsid w:val="5C0678E3"/>
    <w:rsid w:val="6ADFB210"/>
    <w:rsid w:val="75E50979"/>
    <w:rsid w:val="7B6E21D2"/>
    <w:rsid w:val="7BFBA317"/>
    <w:rsid w:val="7BFE0E71"/>
    <w:rsid w:val="7D7F7A0B"/>
    <w:rsid w:val="9FBDC09D"/>
    <w:rsid w:val="AC6FCE0C"/>
    <w:rsid w:val="BFE0F947"/>
    <w:rsid w:val="CBFDA174"/>
    <w:rsid w:val="EFFFF7F1"/>
    <w:rsid w:val="F73FA6E0"/>
    <w:rsid w:val="FEEFF000"/>
    <w:rsid w:val="FF4D4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line="336" w:lineRule="auto"/>
      <w:jc w:val="left"/>
    </w:pPr>
    <w:rPr>
      <w:rFonts w:ascii="宋体" w:hAnsi="宋体"/>
      <w:kern w:val="0"/>
      <w:sz w:val="24"/>
    </w:rPr>
  </w:style>
  <w:style w:type="paragraph" w:styleId="7">
    <w:name w:val="annotation subject"/>
    <w:basedOn w:val="3"/>
    <w:next w:val="3"/>
    <w:link w:val="19"/>
    <w:qFormat/>
    <w:uiPriority w:val="0"/>
    <w:rPr>
      <w:b/>
      <w:bCs/>
    </w:rPr>
  </w:style>
  <w:style w:type="table" w:styleId="9">
    <w:name w:val="Table Grid"/>
    <w:basedOn w:val="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页眉 字符"/>
    <w:basedOn w:val="10"/>
    <w:link w:val="5"/>
    <w:qFormat/>
    <w:uiPriority w:val="0"/>
    <w:rPr>
      <w:rFonts w:ascii="Calibri" w:hAnsi="Calibri" w:eastAsia="宋体" w:cs="黑体"/>
      <w:kern w:val="2"/>
      <w:sz w:val="18"/>
      <w:szCs w:val="18"/>
    </w:rPr>
  </w:style>
  <w:style w:type="paragraph" w:customStyle="1" w:styleId="15">
    <w:name w:val="Revision"/>
    <w:hidden/>
    <w:unhideWhenUsed/>
    <w:qFormat/>
    <w:uiPriority w:val="99"/>
    <w:rPr>
      <w:rFonts w:ascii="Calibri" w:hAnsi="Calibri" w:eastAsia="宋体" w:cs="黑体"/>
      <w:kern w:val="2"/>
      <w:sz w:val="21"/>
      <w:szCs w:val="24"/>
      <w:lang w:val="en-US" w:eastAsia="zh-CN" w:bidi="ar-SA"/>
    </w:rPr>
  </w:style>
  <w:style w:type="character" w:customStyle="1" w:styleId="16">
    <w:name w:val="列表段落 字符"/>
    <w:link w:val="17"/>
    <w:qFormat/>
    <w:uiPriority w:val="34"/>
    <w:rPr>
      <w:kern w:val="2"/>
      <w:sz w:val="21"/>
      <w:szCs w:val="24"/>
    </w:rPr>
  </w:style>
  <w:style w:type="paragraph" w:styleId="17">
    <w:name w:val="List Paragraph"/>
    <w:basedOn w:val="1"/>
    <w:link w:val="16"/>
    <w:qFormat/>
    <w:uiPriority w:val="34"/>
    <w:pPr>
      <w:ind w:firstLine="420" w:firstLineChars="200"/>
    </w:pPr>
    <w:rPr>
      <w:rFonts w:asciiTheme="minorHAnsi" w:hAnsiTheme="minorHAnsi" w:eastAsiaTheme="minorEastAsia" w:cstheme="minorBidi"/>
    </w:rPr>
  </w:style>
  <w:style w:type="character" w:customStyle="1" w:styleId="18">
    <w:name w:val="批注文字 字符"/>
    <w:basedOn w:val="10"/>
    <w:link w:val="3"/>
    <w:qFormat/>
    <w:uiPriority w:val="0"/>
    <w:rPr>
      <w:rFonts w:ascii="Calibri" w:hAnsi="Calibri" w:eastAsia="宋体" w:cs="黑体"/>
      <w:kern w:val="2"/>
      <w:sz w:val="21"/>
      <w:szCs w:val="24"/>
    </w:rPr>
  </w:style>
  <w:style w:type="character" w:customStyle="1" w:styleId="19">
    <w:name w:val="批注主题 字符"/>
    <w:basedOn w:val="18"/>
    <w:link w:val="7"/>
    <w:qFormat/>
    <w:uiPriority w:val="0"/>
    <w:rPr>
      <w:rFonts w:ascii="Calibri" w:hAnsi="Calibri" w:eastAsia="宋体" w:cs="黑体"/>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3657</Words>
  <Characters>3907</Characters>
  <Lines>30</Lines>
  <Paragraphs>8</Paragraphs>
  <TotalTime>16</TotalTime>
  <ScaleCrop>false</ScaleCrop>
  <LinksUpToDate>false</LinksUpToDate>
  <CharactersWithSpaces>4048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2025-06-20T00:24:00Z</dcterms:created>
  <dc:creator>帅如狗</dc:creator>
  <cp:lastModifiedBy>蓝风</cp:lastModifiedBy>
  <cp:lastPrinted>2025-05-28T00:46:00Z</cp:lastPrinted>
  <dcterms:modified xsi:type="dcterms:W3CDTF">2025-06-24T00:18:03Z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TemplateDocerSaveRecord">
    <vt:lpwstr>eyJoZGlkIjoiMzcyYzQ4MzExOWIxM2ZmZWE3MDIzNjczNzVlZjFmOWYiLCJ1c2VySWQiOiIxNzAwODQwNTc2In0=</vt:lpwstr>
  </property>
  <property fmtid="{D5CDD505-2E9C-101B-9397-08002B2CF9AE}" pid="4" name="ICV">
    <vt:lpwstr>228F8254620AFD58CFC354681266B235_43</vt:lpwstr>
  </property>
</Properties>
</file>