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1" Type="http://schemas.openxmlformats.org/package/2006/relationships/metadata/thumbnail" Target="docProps/thumbnail.wmf"/><Relationship Id="rId5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福建省肿瘤医院采购项目综合需求调研</w:t>
      </w:r>
      <w:bookmarkStart w:id="0" w:name="_Toc321661071"/>
      <w:bookmarkStart w:id="1" w:name="_Toc321661070"/>
      <w:bookmarkStart w:id="2" w:name="_Toc363484691"/>
      <w:bookmarkStart w:id="3" w:name="_Toc320797677"/>
      <w:bookmarkStart w:id="4" w:name="_Toc16547"/>
    </w:p>
    <w:p>
      <w:pPr>
        <w:pStyle w:val="12"/>
        <w:jc w:val="center"/>
      </w:pPr>
      <w:r>
        <w:rPr>
          <w:rFonts w:hint="eastAsia" w:ascii="仿宋_GB2312" w:hAnsi="仿宋_GB2312" w:cs="仿宋_GB2312"/>
          <w:sz w:val="28"/>
          <w:szCs w:val="28"/>
        </w:rPr>
        <w:t>（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总务</w:t>
      </w:r>
      <w:r>
        <w:rPr>
          <w:rFonts w:hint="eastAsia" w:ascii="仿宋_GB2312" w:hAnsi="仿宋_GB2312" w:cs="仿宋_GB2312"/>
          <w:sz w:val="28"/>
          <w:szCs w:val="28"/>
        </w:rPr>
        <w:t>科）</w:t>
      </w:r>
    </w:p>
    <w:p>
      <w:pPr>
        <w:spacing w:beforeLines="50"/>
        <w:jc w:val="center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第一部分 须知前附表</w:t>
      </w:r>
      <w:bookmarkEnd w:id="0"/>
      <w:bookmarkEnd w:id="1"/>
      <w:bookmarkEnd w:id="2"/>
      <w:bookmarkEnd w:id="3"/>
      <w:bookmarkEnd w:id="4"/>
    </w:p>
    <w:p>
      <w:pPr>
        <w:rPr>
          <w:rFonts w:ascii="仿宋_GB2312" w:hAnsi="仿宋_GB2312" w:eastAsia="仿宋_GB2312" w:cs="仿宋_GB2312"/>
          <w:sz w:val="32"/>
          <w:szCs w:val="32"/>
          <w:lang/>
        </w:rPr>
      </w:pPr>
    </w:p>
    <w:tbl>
      <w:tblPr>
        <w:tblW w:w="874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3"/>
              <w:pBdr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360" w:lineRule="auto"/>
              <w:jc w:val="both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主      要       内       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监控设备采购项目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综合调研公告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50"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日至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日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(节假日除外)8：00-12：00或14：00-17：00(北京时间）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分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1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份，副本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份。</w:t>
            </w:r>
            <w:bookmarkStart w:id="5" w:name="_GoBack"/>
            <w:bookmarkEnd w:id="5"/>
            <w:r>
              <w:rPr>
                <w:rFonts w:ascii="仿宋_GB2312" w:hAnsi="仿宋_GB2312" w:eastAsia="仿宋_GB2312" w:cs="仿宋_GB2312"/>
                <w:sz w:val="32"/>
                <w:szCs w:val="32"/>
              </w:rPr>
              <w:br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胶装并密封加盖投标人公章。文件未胶装将视为无效。</w:t>
            </w:r>
          </w:p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文件递交处：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福建省肿瘤医院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总务科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上述时间、地点如有变动，以我院届时通知为准。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址： 福建省福州市福马路420号省肿瘤医院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总务</w:t>
      </w:r>
      <w:r>
        <w:rPr>
          <w:rFonts w:hint="eastAsia" w:ascii="仿宋_GB2312" w:hAnsi="仿宋_GB2312" w:eastAsia="仿宋_GB2312" w:cs="仿宋_GB2312"/>
          <w:sz w:val="32"/>
          <w:szCs w:val="32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会议室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科研楼一层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       </w:t>
      </w:r>
    </w:p>
    <w:p>
      <w:pPr>
        <w:tabs>
          <w:tab w:val="left" w:pos="2775"/>
        </w:tabs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编： 350014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：0591-62752801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陈工</w:t>
      </w:r>
    </w:p>
    <w:p>
      <w:pPr>
        <w:spacing w:line="480" w:lineRule="exact"/>
        <w:jc w:val="center"/>
        <w:rPr>
          <w:rFonts w:ascii="黑体" w:hAnsi="黑体" w:eastAsia="黑体" w:cs="黑体"/>
          <w:spacing w:val="-14"/>
          <w:sz w:val="32"/>
          <w:szCs w:val="32"/>
        </w:rPr>
      </w:pPr>
    </w:p>
    <w:p>
      <w:pPr>
        <w:spacing w:line="480" w:lineRule="exact"/>
        <w:jc w:val="center"/>
        <w:rPr>
          <w:rFonts w:ascii="黑体" w:hAnsi="黑体" w:eastAsia="黑体" w:cs="黑体"/>
          <w:spacing w:val="-14"/>
          <w:sz w:val="32"/>
          <w:szCs w:val="32"/>
        </w:rPr>
      </w:pPr>
    </w:p>
    <w:p>
      <w:pPr>
        <w:spacing w:line="480" w:lineRule="exact"/>
        <w:jc w:val="center"/>
        <w:rPr>
          <w:rFonts w:ascii="黑体" w:hAnsi="黑体" w:eastAsia="黑体" w:cs="黑体"/>
          <w:spacing w:val="-14"/>
          <w:sz w:val="32"/>
          <w:szCs w:val="32"/>
        </w:rPr>
      </w:pPr>
      <w:r>
        <w:rPr>
          <w:rFonts w:hint="eastAsia" w:ascii="黑体" w:hAnsi="黑体" w:eastAsia="黑体" w:cs="黑体"/>
          <w:spacing w:val="-14"/>
          <w:sz w:val="32"/>
          <w:szCs w:val="32"/>
        </w:rPr>
        <w:t>第二部分  具体要求</w:t>
      </w:r>
    </w:p>
    <w:p>
      <w:pPr>
        <w:widowControl/>
        <w:spacing w:line="500" w:lineRule="exact"/>
        <w:rPr>
          <w:rFonts w:ascii="仿宋_GB2312" w:hAnsi="仿宋_GB2312" w:eastAsia="仿宋_GB2312" w:cs="仿宋_GB2312"/>
          <w:spacing w:val="-14"/>
          <w:sz w:val="32"/>
          <w:szCs w:val="32"/>
        </w:rPr>
      </w:pPr>
    </w:p>
    <w:p>
      <w:pPr>
        <w:widowControl/>
        <w:spacing w:line="500" w:lineRule="exact"/>
        <w:ind w:firstLine="960" w:firstLineChars="300"/>
        <w:rPr>
          <w:rFonts w:hint="eastAsia" w:ascii="仿宋_GB2312" w:hAnsi="仿宋_GB2312" w:eastAsia="仿宋_GB2312" w:cs="仿宋_GB2312"/>
          <w:spacing w:val="-1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该项目的综合需求情况调研，包括但不限于功能、质量、价格、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市场供给、售后服务、升级更新、备品备件、耗材等后续采购等情况。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现请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有意向参与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需求调研的供应商，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按以下要求提供详细方案并对项目包进行报价。</w:t>
      </w:r>
    </w:p>
    <w:p>
      <w:pPr>
        <w:widowControl/>
        <w:spacing w:line="500" w:lineRule="exact"/>
        <w:ind w:firstLine="876" w:firstLineChars="300"/>
        <w:rPr>
          <w:rFonts w:hint="eastAsia" w:ascii="仿宋_GB2312" w:hAnsi="仿宋_GB2312" w:eastAsia="仿宋_GB2312" w:cs="仿宋_GB2312"/>
          <w:spacing w:val="-14"/>
          <w:sz w:val="32"/>
          <w:szCs w:val="32"/>
        </w:rPr>
      </w:pPr>
    </w:p>
    <w:p>
      <w:pPr>
        <w:pStyle w:val="14"/>
        <w:spacing w:line="440" w:lineRule="exact"/>
        <w:ind w:firstLine="0" w:firstLineChars="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4"/>
          <w:sz w:val="32"/>
          <w:szCs w:val="32"/>
        </w:rPr>
        <w:t>一、采购内容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 </w:t>
      </w:r>
    </w:p>
    <w:tbl>
      <w:tblPr>
        <w:tblW w:w="9600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4846"/>
        <w:gridCol w:w="1296"/>
        <w:gridCol w:w="2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55" w:type="dxa"/>
            <w:vAlign w:val="center"/>
          </w:tcPr>
          <w:p>
            <w:pPr>
              <w:widowControl/>
              <w:spacing w:afterLines="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4846" w:type="dxa"/>
            <w:vAlign w:val="center"/>
          </w:tcPr>
          <w:p>
            <w:pPr>
              <w:widowControl/>
              <w:spacing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spacing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2103" w:type="dxa"/>
            <w:vAlign w:val="center"/>
          </w:tcPr>
          <w:p>
            <w:pPr>
              <w:widowControl/>
              <w:spacing w:afterLines="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（一）</w:t>
            </w:r>
          </w:p>
        </w:tc>
        <w:tc>
          <w:tcPr>
            <w:tcW w:w="484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监控设备</w:t>
            </w:r>
          </w:p>
        </w:tc>
        <w:tc>
          <w:tcPr>
            <w:tcW w:w="129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1批</w:t>
            </w:r>
          </w:p>
        </w:tc>
        <w:tc>
          <w:tcPr>
            <w:tcW w:w="210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98</w:t>
            </w:r>
          </w:p>
        </w:tc>
      </w:tr>
    </w:tbl>
    <w:p>
      <w:pPr>
        <w:numPr>
          <w:ilvl w:val="0"/>
          <w:numId w:val="1"/>
        </w:num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技术功能及服务要求</w:t>
      </w:r>
    </w:p>
    <w:p>
      <w:pPr>
        <w:pStyle w:val="12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合同包（一）</w:t>
      </w:r>
    </w:p>
    <w:tbl>
      <w:tblPr>
        <w:tblW w:w="91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052"/>
        <w:gridCol w:w="4812"/>
        <w:gridCol w:w="712"/>
        <w:gridCol w:w="737"/>
        <w:gridCol w:w="1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名称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技术要求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400万半球摄像机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传感器类型：1/2.7" Progressive Scan CMOS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最低照度：彩色：0.01 Lux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视频压缩标准：主码流：H.265/H.264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网络：1个RJ45 10M/100M自适应以太网口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PoE：IEEE 802.3af，CLASS 3，最大功耗：11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防护：IP66，IK10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400万嵌入式高速球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传感器类型：1/2.8＂ progressive scan CMOS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最低照度：彩色：0.005Lux @ (F1.6，AGC ON)；黑白：0.001Lux @(F1.6，AGC ON) ；0 Lux with IR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变倍：23倍光学变倍，16倍数字变倍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焦距：4.8-110mm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视频压缩标准：H.265/H.264/MJPEG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防护：IP66; 6000V 防雷、防浪涌、防突波，符合GB/T17626.5 四级标准         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嵌入式支架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嵌入式支架/白色/镀锌钢板/Φ233×85mm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400万室内枪机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传感器类型：1/2.7" Progressive Scan CMOS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最低照度：彩色：0.005 Lux @（F1.2，AGC ON），0 Lux with Light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最大图像尺寸：2560 × 1440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视频压缩标准：主码流：H.265/H.264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电流及功耗：DC：12 V，0.42 A，最大功耗：5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PoE：IEEE 802.3af，CLASS 3，最大功耗：6.5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防护：IP66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400万室外枪机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传感器类型：1/3" Progressive Scan CMOS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最低照度：彩色：0.005 Lux @（F1.2，AGC ON），0 Lux with IR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视频压缩标准：主码流：H.265/H.264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PoE：802.3af，36 V~57 V，0.35 A~0.22 A，最大功耗：12.5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防护：IP66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摄像机壁装支架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颜色: 白；材质: 铝合金；最小管径: 184.6 × 94 × 65mm；承重: 0.7KG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400万智搜摄像机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400万定焦智能筒型网络摄像机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采用深度学习硬件及算法，支持越界侦测，区域入侵侦测，进入区域侦测和离开区域侦测，支持联动声音报警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最高分辨率可达2688 × 1520 @25 fps，在该分辨率下可输出实时图像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支持背光补偿，强光抑制，3D数字降噪，120 dB宽动态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支持ROI感兴趣区域增强编码，支持Smart265/264编码，可根据场景情况自适应调整码率分配，有效节省存储成本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1个内置麦克风，1个内置扬声器，支持双向语音对讲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支持最大256 GB MicroSD/MicroSDHC/MicroSDXC卡本地存储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支持1路报警输入，1路报警输出（报警输出最大支持AC24 V/DC24 V，1 A），1路音频输入，1路音频输出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支持：DC12 V，100 mA电源输出，可用于拾音器供电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支持白光/红外双补光，红外最远可达50 m，白光最远可达30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符合IP66防尘防水设计，可靠性高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摄像机壁装支架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材质：铝合金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尺寸：70×97.1×173.4mm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重量：最大承受重量为2KG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角度：调整角度：水平：360°，垂直：-45°~45°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产品重量：201g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臻全彩枪球一体高速球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传感器类型：【全景】1/1.8＂ progressive scan CMOS,【细节】1/1.8＂ progressive scan CMOS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最低照度：【全景】彩色 0.0005Lux @ (F1.4，AGC ON)，黑白0.0001Lux @(F1.4，AGC ON)， 0Lux with IR；【细节】彩色 0.0005Lux @ (F1.3，AGC ON)，黑白0.0001Lux @(F1.3，AGC ON)， 0Lux with IR；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光学变倍：【细节】25倍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焦距：【全景】2.8mm；【细节】6.0~150mm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视频压缩标准：H.265,H.264,MJPEG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防护：IP67; 6000V防雷、防浪涌、防突波，符合GB/T17626.2/3/4/5/6四级标准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高速球壁装支架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颜色：铂晶灰；材质：铝合金；尺寸：311×97.3×182.6mm；重量：1000g；角度：水平：360°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36盘位云存储主机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1.设备配置：≥1颗64位多核处理器，≥8G内存， ≥2个千兆网口、 ≥1个千兆管理网口、36块硬盘热插拔插槽；支持风扇热插拔并可冗余温控调速；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2.可接入2T/3T/4T/6T/8T/10T/12T/14T/16T/18T/20T，支持 SATA/SAS硬盘；支持NL-SAS 硬盘、HDD硬盘、SSD硬盘、氦气硬盘、空气硬盘；支持 CMR或SMR硬盘；支持硬盘交错/分时启动；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3.支持磁盘故障后，具有数据自愈功能，可设置立即重构，亦可设置为不执行重构，即支持手动或系统自动恢复数据。EC纠删码为降级状态，可以正常读取视频。图片、智能流、文件业务的数据；在数据恢复过程中，业务不中断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4.云存储节点单设备支持采用N+M冗余方式进行数据校验存储，不采用传统的RAID磁盘级方式 （如Raid5， Raid6， Vraid，Sraid，SafeVideo等） 进行数据保护；云存储系统空间利用率可调，根据N+M容错配置，可使空间利用率到达95%以上;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5.支持在录像文件目录损坏时重建索引,恢复录像查询;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343路4m码流存储90天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36盘位云存储主机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1.设备配置：≥1颗64位多核处理器，≥8G内存， ≥2个千兆网口、 ≥1个千兆管理网口、36块硬盘热插拔插槽；支持风扇热插拔并可冗余温控调速；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2.可接入2T/3T/4T/6T/8T/10T/12T/14T/16T/18T/20T，支持 SATA/SAS硬盘；支持NL-SAS 硬盘、HDD硬盘、SSD硬盘、氦气硬盘、空气硬盘；支持 CMR或SMR硬盘；支持硬盘交错/分时启动；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3.支持磁盘故障后，具有数据自愈功能，可设置立即重构，亦可设置为不执行重构，即支持手动或系统自动恢复数据。EC纠删码为降级状态，可以正常读取视频。图片、智能流、文件业务的数据；在数据恢复过程中，业务不中断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4.云存储节点单设备支持采用N+M冗余方式进行数据校验存储，不采用传统的RAID磁盘级方式 （如Raid5， Raid6， Vraid，Sraid，SafeVideo等） 进行数据保护；云存储系统空间利用率可调，根据N+M容错配置，可使空间利用率到达95%以上;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5.支持在录像文件目录损坏时重建索引,恢复录像查询;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8TB企业级硬盘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8TB容量，3.5英寸，SATA3.0接口，7200RPM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传输速率255 MB/s，流畅存储视频有效防止丢帧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支持5年有限质保服务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6TB企业级硬盘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6TB容量，3.5英寸，SATA3.0接口，7200RPM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传输速率250 MB/s，256MB高速缓存，流畅存储视频有效防止丢帧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支持5年有限质保服务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6TB企业级硬盘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利旧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智搜硬盘录像机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2U机架式8盘位嵌入式边缘计算主机，采用存算一体架构，内置高性能AI处理器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【硬件规格】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存储接口：8个SATA接口，可满配16TB硬盘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视频接口：2×HDMI，2×VGA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网络接口：2×RJ45 10/100/1000Mbps自适应以太网口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报警接口：16路报警输入，9路报警输出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串行接口：1路RS-232接口，1路全双工RS-485接口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USB接口：2×USB 2.0，2×USB 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扩展接口：1×eSATA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【产品性能】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输入带宽：320Mbps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输出带宽：256Mbps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接入能力：32路H.264、H.265格式高清码流接入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解码能力：最大支持32×1080P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显示能力：最大支持8K+1080P、2×4K异源输出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RAID模式：RAID0、RAID1、RAID5、RAID6、RAID10，支持全局热备盘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（仅支持监控级AI盘或企业级硬盘启用RAID）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【智能应用】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整机搭载3颗高性能AI引擎（其中1颗图文建模专用引擎，不用于视频分析），剩余2颗支持独立配置目标识别、周界防范、周界二次分析、视频结构化、以图搜图引擎模式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一、以文搜图-以图搜图应用：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支持以文搜图功能，开放式语义检索，输入文字描述即可查找相关目标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支持人、车、非机动车以及附属物的开放式属性检索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支持独立物品的开放式属性检索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支持秒级检索响应，检索结果快速返回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支持以图搜图功能，可对视频预览和录像中的目标实现快速检索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视频流性能（普通相机）：16路视频流（2MP)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图片流性能（智搜相机）：32路图片流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单颗AI引擎分析能力：32路图片流或16路2MP视频流/8路4MP/4路8MP视频流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二、目标识别应用：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支持目标抓拍、比对报警；支持以图搜图、按姓名检索、按属性检索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目标名单库：支持32个名单库，名单库库容10万张；路人库库容10万张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视频流：16路视频流（4MP）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图片流：32路图片流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目标应用：签到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单颗AI引擎分析能力：32路图片流或8路2MP/8路4MP/4路8MP视频流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三、周界防范应用：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支持周界算法（越界侦测、区域入侵、进入区域、离开区域）事件报警及联动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支持大模型周界的二次分析功能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视频流性能：24路视频流（2MP）周界防范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图片流性能：32路图片流大模型周界防范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单颗AI引擎分析能力：32路图片流或12路2MP/6路4MP/2路8MP视频流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四、视频结构化应用：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支持目标，人体，车辆，非机动车抓拍，支持人体以图搜图及属性检索，支持车牌识别，车牌库报警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视频结构化性能：16路视频流（2MP）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单颗AI引擎分析能力：8路2MP/6路4MP/3路8MP视频流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8TB监控级硬盘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8TB容量，3.5英寸，SATA3.0接口，7200RPM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AllFrame AI全帧技术，提升用户AI视频分析检索体验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空气盘， CMR传统磁记录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传输速率267 MB/s，流畅存储视频有效防止丢帧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高级格式（AF）512e扇区技术，保障硬盘扇区4K对齐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满足数据严苛的7*24小时运行可靠性、安全性的需求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支持5年有限质保服务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适用海拔高度范围-305m至3050m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46寸拼接屏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 显示尺寸：≥46 inch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 背光源类型：D-LED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 物理拼缝：≤3.5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4. 物理拼缝公差：≤±0.8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5. 物理分辨率：≥1920 × 1080@60 Hz（向下兼容）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6. 亮度：≥500 ± 10% cd/m²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7. 可视角：≥178°(水平)/178°(垂直)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8. 对比度：≥1000：1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9. 音视频输入接口：HDMI ≥1, DVI × 1, USB ≥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10. 音视频输出接口：无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11. 控制接口：RS-232 IN ≥1, RS-232 OUT ≥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12. 功耗：≤ 200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13. 待机功耗：≤ 0.5 W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3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电视墙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模块化电视墙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解码拼控一体机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1.内置6组24个风扇，可自动调整转速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2.可通过网络与NTP服务器进行校时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3.支持将选定的视频输入切换到选定的视频输出，画面切换时不出现黑屏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4.支持将一组视频信号按设定顺序在选定的视频输出上逐一显示，可支持多组轮巡同步切换。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5.输入分辨率支持704×576、704×480、960×576、960×480、1024×768、1280×720、1280×1024、1280×800、1280×960、1366×768、1440×900、1400×1050、1680×1050、1920×1080、1600×1200、1920×1200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6.支持视频图像的水平、垂直手动调校及自动微调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7.可对单个视频输入通道进行分辨率、帧率、码率、亮度、对比度、饱和度、色调、去噪等参数设置，图像显示模式可设定标准、室内、室外、弱光等显示模式进行设置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8.解码板输出支持H.265、H.264、MJPEG格式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9.最大支持解码7680X 4320、25fps的视频图像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10.支持对电视墙进行回显功能，每个电视墙都支持独立回显，回显内容和大屏内容同步，每路录屏图像支持编码存储。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11.支持BMP、JPEG等格式的底图上传， 支持底图轮巡，底图数量及轮巡时间可设置；并支持在底图上拼接、漫游、开窗显示，底图分辨率可达7680×4320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HDMI线缆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HDMI 1.4 4K30Hz铜缆 （15米）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线缆类型（音视频线）：铜缆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视频版本：HDMI 1.4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支持最大分辨率：4K 30Hz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接口类型：HDMI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根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综合安防平台软件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平台基础模块，门户工作台，事件中心，图上监控，视频监控，设备网络管理、门禁管理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台授权350路视频，设备网络管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理授权400路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综合安防平台-智能文搜模块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1、基于多模态大模型，实现海量视图数据的开放式语义检索，不再局限于传统的录像回放及固定属性查找。在搜索框内输入文字描述，例如“打电话”、 “骑电瓶车未戴头盔”等，即可搜索出相关目标。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2、针对锁定的目标支持快捷查看目标动向。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3、预置热门搜索词条并记录历史搜索，支持用户点击进行快速搜索，让操作更简单，使用更便捷。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平台管理服务器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2U单路标准机架式服务器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CPU：配置1颗 C86架构处理器，核数≥16核，主频≥2.5GHz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内存：配置128G DDR4，16根内存插槽，最大支持扩展至1TB内存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硬盘：配置2块480G SSD硬盘，配置2块4T 7.2K SATA硬盘；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阵列卡：配置SAS_HBA卡（支持RAID 0/1/10） 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PCIE扩展：最大可选支持6个PCIe扩展插槽；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网口：板载2个千兆电口，支持选配10GbE、25GbE SFP+等多种网络接口；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其他接口：配置1个千兆RJ-45管理接口，4个USB 3.0接口，2个位于机箱后部，2个位于机箱前部；1个VGA口，位于机箱后部；可选1个COM口位于机箱后部；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电源：配置550W（1+1）高效铂金CRPS冗余电源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核心交换机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1.交换容量≥38.4Tbps, 转发性能≥38400Mpps；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2.整机业务板槽位数≥3，主控引擎、电源模块支持冗余；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3.为适应机柜并排部署设备通风散热，设备机箱（包括业务板卡区域）采用后出风风道设计；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4.支持独立的硬件监控模块, 控制平面和监控平面物理槽位分离，支持1+1冗余备份，支持热插拔，可以实现对设备的电源模块和风扇模块进行管理，调节设备能耗；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5.支持MAC地址≥1M，ARP表项≥256K，ACL表项≥64K，Ipv4 FIB≥150K；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6.支持OSPF、OSPFv3、IS-IS、IS-ISv6、BGP、BGP4+、策略路由、路由策略，支持IPv4和IPv6双协议栈；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7.支持MPLS基本功能，支持MPLS OAM，支持MPLS TE，支持MPLS VPN/VLL/VPLS；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8.配置双主控，双电源,双电源≥800W，万兆光端口≥48个，千兆电口≥48个；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NTP校时服务器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设备上电或重启后，系统自启校时服务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安装调试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图像调试、系统调试、网络调试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项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网络线材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5000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米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电源线材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4500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米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PVC套管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2000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米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开关电源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12V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用于新增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60处的半球摄像机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其他要求</w:t>
      </w:r>
    </w:p>
    <w:p>
      <w:pPr>
        <w:numPr>
          <w:ilvl w:val="0"/>
          <w:numId w:val="2"/>
        </w:numPr>
        <w:ind w:leftChars="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拆除外科大楼（5号楼）旧有监控设备（博世）并替换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新设备，新增60处400万半球摄像机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。将原有平台进行升级并兼容现有监控平台。</w:t>
      </w:r>
    </w:p>
    <w:p>
      <w:pPr>
        <w:numPr>
          <w:ilvl w:val="0"/>
          <w:numId w:val="2"/>
        </w:numPr>
        <w:ind w:leftChars="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新购36盘位云存储主机应和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120块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6TB企业硬盘（利旧）兼容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ind w:leftChars="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综合安防平台软件，应与医院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现有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安防平台系统兼容。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后期维保服务，应做好新旧系统交接工作，包括但不限于：设备新旧对应替换清单、数据备份（旧博世监控系统中有重要监控数据的，需要提前将这些数据备份到移动硬盘或云端。）、交接记录（就设备下电断网情况、旧系统封存情况、新设备上电开机入网情况、新系统试运行及整改情况等）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备品备件。120块6TB企业硬盘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旧机上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拆除使用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供应商应承诺有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10%-20%的备件应对损耗风险。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报价应包含安装费、辅材（包含到不限于插头、管扣、水晶头等）、税费等一切费用。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更新的监控前端摄像设备、存储主机（含新硬盘）设备、屏接屏及屏控设备、软件及平台管理服务器设备、核心交换机等硬件设备、软件产品要求质保3年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以上所提供设备配置为参考数据，如有偏离，方可对偏离予以说明优缺点。数据分析合理，予以采纳。</w:t>
      </w:r>
    </w:p>
    <w:p>
      <w:pPr>
        <w:numPr>
          <w:numId w:val="0"/>
        </w:num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0A0000" w:fill="FFFFFF"/>
          <w:lang w:eastAsia="zh-CN"/>
        </w:rPr>
        <w:t>四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0A0000" w:fill="FFFFFF"/>
        </w:rPr>
        <w:t>、报名时需携带以下资料：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参与调研单位公司营业执照。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参与调研单位代表的个人授权函（需加盖供应商公章）和身份证复印件。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12"/>
        <w:rPr>
          <w:rFonts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宋体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0A0000" w:fill="FFFFFF"/>
          <w:lang w:eastAsia="zh-CN"/>
        </w:rPr>
        <w:t>五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0A0000" w:fill="FFFFFF"/>
        </w:rPr>
        <w:t>、调研会需携带以下资料</w:t>
      </w:r>
    </w:p>
    <w:p>
      <w:pPr>
        <w:widowControl w:val="0"/>
        <w:numPr>
          <w:ilvl w:val="0"/>
          <w:numId w:val="4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公司营业执照。</w:t>
      </w:r>
    </w:p>
    <w:p>
      <w:pPr>
        <w:widowControl w:val="0"/>
        <w:numPr>
          <w:ilvl w:val="0"/>
          <w:numId w:val="4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提供参与调研单位代表的个人授权函（需加盖供应商公章）和身份证复印件。</w:t>
      </w:r>
    </w:p>
    <w:p>
      <w:pPr>
        <w:widowControl w:val="0"/>
        <w:numPr>
          <w:ilvl w:val="0"/>
          <w:numId w:val="4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提供“信用中国”网站（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instrText xml:space="preserve"> HYPERLINK "http://www.creditchina.gov.xn--cn)-6y3b/"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www.creditchina.gov.cn）、“中国政府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end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采购网”网站（http://www.ccgp.gov.cn/search/cr/）信用记录查询截图，无不良记录并加盖公章（截图查询日期必须在该公告日期内）。</w:t>
      </w:r>
    </w:p>
    <w:p>
      <w:pPr>
        <w:widowControl w:val="0"/>
        <w:numPr>
          <w:ilvl w:val="0"/>
          <w:numId w:val="4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提供报价书（包含实现本项目的一切费用）。</w:t>
      </w:r>
    </w:p>
    <w:p>
      <w:pPr>
        <w:widowControl w:val="0"/>
        <w:numPr>
          <w:ilvl w:val="0"/>
          <w:numId w:val="4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同类项目业绩（2022年至今）</w:t>
      </w:r>
    </w:p>
    <w:p>
      <w:pPr>
        <w:widowControl w:val="0"/>
        <w:numPr>
          <w:ilvl w:val="0"/>
          <w:numId w:val="4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针对本项目的项目方案书。</w:t>
      </w:r>
    </w:p>
    <w:p>
      <w:pPr>
        <w:numPr>
          <w:ilvl w:val="0"/>
          <w:numId w:val="4"/>
        </w:numPr>
        <w:shd w:val="solid" w:color="FFFFFF" w:fill="auto"/>
        <w:autoSpaceDN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提供参数对比数据表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。</w:t>
      </w:r>
    </w:p>
    <w:p>
      <w:pPr>
        <w:widowControl w:val="0"/>
        <w:numPr>
          <w:ilvl w:val="0"/>
          <w:numId w:val="4"/>
        </w:numPr>
        <w:wordWrap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其他本项目调研内容要求提供的材料。</w:t>
      </w:r>
    </w:p>
    <w:p>
      <w:pPr>
        <w:pStyle w:val="2"/>
        <w:numPr>
          <w:numId w:val="0"/>
        </w:numPr>
        <w:ind w:leftChars="0"/>
        <w:rPr>
          <w:rFonts w:hint="eastAsia"/>
          <w:lang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hd w:val="solid" w:color="FFFFFF" w:fill="auto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shd w:val="clear" w:color="auto" w:fill="FFFFFF"/>
        </w:rPr>
      </w:pPr>
    </w:p>
    <w:p>
      <w:pPr>
        <w:pStyle w:val="12"/>
      </w:pPr>
    </w:p>
    <w:p>
      <w:pPr>
        <w:rPr>
          <w:rFonts w:ascii="仿宋_GB2312" w:hAnsi="仿宋_GB2312" w:cs="仿宋_GB2312"/>
          <w:sz w:val="32"/>
          <w:szCs w:val="32"/>
        </w:rPr>
      </w:pPr>
    </w:p>
    <w:sectPr>
      <w:footerReference r:id="rId4" w:type="default"/>
      <w:pgSz w:w="11906" w:h="16838"/>
      <w:pgMar w:top="1191" w:right="1588" w:bottom="107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rect id="矩形 1" o:spid="_x0000_s1025" style="position:absolute;left:0;margin-top:0pt;height:12.8pt;width:5.3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610209527">
    <w:nsid w:val="D72F6CF7"/>
    <w:multiLevelType w:val="singleLevel"/>
    <w:tmpl w:val="D72F6CF7"/>
    <w:lvl w:ilvl="0" w:tentative="1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021941504">
    <w:nsid w:val="EFB9F500"/>
    <w:multiLevelType w:val="singleLevel"/>
    <w:tmpl w:val="EFB9F500"/>
    <w:lvl w:ilvl="0" w:tentative="1">
      <w:start w:val="1"/>
      <w:numFmt w:val="decimal"/>
      <w:suff w:val="nothing"/>
      <w:lvlText w:val="%1、"/>
      <w:lvlJc w:val="left"/>
    </w:lvl>
  </w:abstractNum>
  <w:abstractNum w:abstractNumId="4260240949">
    <w:nsid w:val="FDEE1E35"/>
    <w:multiLevelType w:val="singleLevel"/>
    <w:tmpl w:val="FDEE1E35"/>
    <w:lvl w:ilvl="0" w:tentative="1">
      <w:start w:val="1"/>
      <w:numFmt w:val="decimal"/>
      <w:suff w:val="nothing"/>
      <w:lvlText w:val="%1、"/>
      <w:lvlJc w:val="left"/>
    </w:lvl>
  </w:abstractNum>
  <w:abstractNum w:abstractNumId="2129617856">
    <w:nsid w:val="7EEF63C0"/>
    <w:multiLevelType w:val="singleLevel"/>
    <w:tmpl w:val="7EEF63C0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3610209527"/>
  </w:num>
  <w:num w:numId="2">
    <w:abstractNumId w:val="4021941504"/>
  </w:num>
  <w:num w:numId="3">
    <w:abstractNumId w:val="4260240949"/>
  </w:num>
  <w:num w:numId="4">
    <w:abstractNumId w:val="21296178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TUwN2RlOGJmZDA2OWFiODI0YmI0M2I1ODcxNWI4NmY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paragraph" w:styleId="2">
    <w:name w:val="Body Text"/>
    <w:basedOn w:val="1"/>
    <w:unhideWhenUsed/>
    <w:qFormat/>
    <w:uiPriority w:val="99"/>
    <w:rPr>
      <w:rFonts w:ascii="仿宋_GB2312" w:eastAsia="仿宋_GB2312"/>
      <w:sz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9">
    <w:name w:val="Strong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引用1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customStyle="1" w:styleId="1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13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548</Words>
  <Characters>687</Characters>
  <Lines>24</Lines>
  <Paragraphs>6</Paragraphs>
  <ScaleCrop>false</ScaleCrop>
  <LinksUpToDate>false</LinksUpToDate>
  <CharactersWithSpaces>0</CharactersWithSpaces>
  <Application>WPS Office 专业版_8.1.0.0_{F1E327BC-269C-435d-A152-05C5408002CA}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2023-07-16T02:00:00Z</dcterms:created>
  <dc:creator>Admin</dc:creator>
  <cp:lastModifiedBy>Admin</cp:lastModifiedBy>
  <cp:lastPrinted>2025-05-10T07:59:00Z</cp:lastPrinted>
  <dcterms:modified xsi:type="dcterms:W3CDTF">2025-06-18T00:44:22Z</dcterms:modified>
  <dc:title>福建省肿瘤医院采购项目综合需求调研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2052-8.1.0.0</vt:lpwstr>
  </property>
  <property fmtid="{D5CDD505-2E9C-101B-9397-08002B2CF9AE}" pid="3" name="ICV">
    <vt:lpwstr>895284EE99FC407AAC1D1A0960843C42_13</vt:lpwstr>
  </property>
  <property fmtid="{D5CDD505-2E9C-101B-9397-08002B2CF9AE}" pid="4" name="KSOTemplateDocerSaveRecord">
    <vt:lpwstr>eyJoZGlkIjoiYmI2NTViOGUwOWZhNzY0NjhiZDFhN2U1MTQ3ZjAxN2QiLCJ1c2VySWQiOiIxMjEzNTE2NzM1In0=</vt:lpwstr>
  </property>
</Properties>
</file>