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8D169">
      <w:pPr>
        <w:pStyle w:val="3"/>
        <w:wordWrap/>
        <w:spacing w:before="0" w:after="0" w:line="360" w:lineRule="auto"/>
        <w:ind w:left="0" w:leftChars="0" w:right="0"/>
        <w:jc w:val="center"/>
        <w:rPr>
          <w:rFonts w:hint="eastAsia" w:ascii="仿宋_GB2312" w:hAnsi="仿宋_GB2312" w:eastAsia="方正小标宋简体" w:cs="仿宋_GB2312"/>
          <w:b w:val="0"/>
          <w:kern w:val="2"/>
          <w:sz w:val="32"/>
          <w:szCs w:val="32"/>
          <w:lang w:eastAsia="zh-CN"/>
        </w:rPr>
      </w:pPr>
      <w:bookmarkStart w:id="2" w:name="_GoBack"/>
      <w:bookmarkEnd w:id="2"/>
      <w:r>
        <w:rPr>
          <w:rFonts w:hint="eastAsia" w:ascii="方正小标宋简体" w:hAnsi="方正小标宋简体" w:eastAsia="方正小标宋简体" w:cs="方正小标宋简体"/>
          <w:b w:val="0"/>
          <w:kern w:val="2"/>
          <w:sz w:val="44"/>
          <w:szCs w:val="44"/>
          <w:lang w:val="en-US" w:eastAsia="zh-CN"/>
        </w:rPr>
        <w:t>福建省肿瘤医院</w:t>
      </w:r>
      <w:r>
        <w:rPr>
          <w:rFonts w:hint="eastAsia" w:ascii="方正小标宋简体" w:hAnsi="方正小标宋简体" w:eastAsia="方正小标宋简体" w:cs="方正小标宋简体"/>
          <w:b w:val="0"/>
          <w:kern w:val="2"/>
          <w:sz w:val="44"/>
          <w:szCs w:val="44"/>
        </w:rPr>
        <w:t>调研公</w:t>
      </w:r>
      <w:r>
        <w:rPr>
          <w:rFonts w:hint="eastAsia" w:ascii="方正小标宋简体" w:hAnsi="方正小标宋简体" w:eastAsia="方正小标宋简体" w:cs="方正小标宋简体"/>
          <w:b w:val="0"/>
          <w:kern w:val="2"/>
          <w:sz w:val="44"/>
          <w:szCs w:val="44"/>
          <w:lang w:val="en-US" w:eastAsia="zh-CN"/>
        </w:rPr>
        <w:t>告</w:t>
      </w:r>
    </w:p>
    <w:p w14:paraId="3ABB2580">
      <w:pPr>
        <w:widowControl/>
        <w:shd w:val="clear" w:color="auto" w:fill="FFFFFF"/>
        <w:wordWrap/>
        <w:adjustRightInd w:val="0"/>
        <w:snapToGrid w:val="0"/>
        <w:spacing w:before="0" w:after="0" w:line="360" w:lineRule="auto"/>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6"/>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5F4B0B6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1C9DFD7">
            <w:pPr>
              <w:pStyle w:val="5"/>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4A9B081">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5BAB4A6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2B0084F">
            <w:pPr>
              <w:widowControl/>
              <w:wordWrap/>
              <w:spacing w:before="0" w:after="0" w:line="360" w:lineRule="auto"/>
              <w:ind w:left="0" w:leftChars="0" w:right="0"/>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8E422B">
            <w:pPr>
              <w:widowControl/>
              <w:wordWrap/>
              <w:spacing w:before="0" w:after="0" w:line="360" w:lineRule="auto"/>
              <w:ind w:left="0" w:leftChars="0" w:right="0"/>
              <w:jc w:val="both"/>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项目</w:t>
            </w:r>
            <w:r>
              <w:rPr>
                <w:rFonts w:hint="eastAsia" w:ascii="仿宋_GB2312" w:hAnsi="仿宋_GB2312" w:eastAsia="仿宋_GB2312" w:cs="仿宋_GB2312"/>
                <w:color w:val="000000"/>
                <w:kern w:val="0"/>
                <w:sz w:val="32"/>
                <w:szCs w:val="32"/>
                <w:lang w:val="en-US" w:eastAsia="zh-CN"/>
              </w:rPr>
              <w:t>名称</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肿瘤大数据平台</w:t>
            </w:r>
          </w:p>
        </w:tc>
      </w:tr>
      <w:tr w14:paraId="6609206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E91D41C">
            <w:pPr>
              <w:widowControl/>
              <w:wordWrap/>
              <w:spacing w:before="0" w:after="0" w:line="360" w:lineRule="auto"/>
              <w:ind w:left="0" w:leftChars="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3E92EA2">
            <w:pPr>
              <w:wordWrap/>
              <w:spacing w:before="0" w:after="0" w:line="360" w:lineRule="auto"/>
              <w:ind w:left="0" w:leftChars="0" w:right="0"/>
              <w:jc w:val="both"/>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调研报名时间：</w:t>
            </w:r>
            <w:r>
              <w:rPr>
                <w:rFonts w:hint="eastAsia" w:ascii="仿宋_GB2312" w:hAnsi="仿宋_GB2312" w:eastAsia="仿宋_GB2312" w:cs="仿宋_GB2312"/>
                <w:color w:val="000000"/>
                <w:kern w:val="0"/>
                <w:sz w:val="32"/>
                <w:szCs w:val="32"/>
                <w:lang w:val="en-US" w:eastAsia="zh-CN"/>
              </w:rPr>
              <w:t xml:space="preserve"> 2025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6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u w:val="single"/>
                <w:lang w:val="en-US" w:eastAsia="zh-CN"/>
              </w:rPr>
              <w:t>5</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至 </w:t>
            </w:r>
            <w:r>
              <w:rPr>
                <w:rFonts w:hint="eastAsia" w:ascii="仿宋_GB2312" w:hAnsi="仿宋_GB2312" w:eastAsia="仿宋_GB2312" w:cs="仿宋_GB2312"/>
                <w:color w:val="000000"/>
                <w:kern w:val="0"/>
                <w:sz w:val="32"/>
                <w:szCs w:val="32"/>
                <w:u w:val="single"/>
                <w:lang w:val="en-US" w:eastAsia="zh-CN"/>
              </w:rPr>
              <w:t xml:space="preserve">6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 xml:space="preserve"> 12 </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spacing w:val="-8"/>
                <w:kern w:val="0"/>
                <w:sz w:val="32"/>
                <w:szCs w:val="32"/>
                <w:shd w:val="clear" w:color="auto" w:fill="FFFFFF"/>
              </w:rPr>
              <w:t>(节假日除外)8：00-12：00或14：</w:t>
            </w:r>
            <w:r>
              <w:rPr>
                <w:rFonts w:hint="eastAsia" w:ascii="仿宋_GB2312" w:hAnsi="仿宋_GB2312" w:eastAsia="仿宋_GB2312" w:cs="仿宋_GB2312"/>
                <w:color w:val="000000"/>
                <w:spacing w:val="-8"/>
                <w:kern w:val="0"/>
                <w:sz w:val="32"/>
                <w:szCs w:val="32"/>
                <w:shd w:val="clear" w:color="auto" w:fill="FFFFFF"/>
                <w:lang w:val="en-US" w:eastAsia="zh-CN"/>
              </w:rPr>
              <w:t>3</w:t>
            </w:r>
            <w:r>
              <w:rPr>
                <w:rFonts w:hint="eastAsia" w:ascii="仿宋_GB2312" w:hAnsi="仿宋_GB2312" w:eastAsia="仿宋_GB2312" w:cs="仿宋_GB2312"/>
                <w:color w:val="000000"/>
                <w:spacing w:val="-8"/>
                <w:kern w:val="0"/>
                <w:sz w:val="32"/>
                <w:szCs w:val="32"/>
                <w:shd w:val="clear" w:color="auto" w:fill="FFFFFF"/>
              </w:rPr>
              <w:t>0-17：</w:t>
            </w:r>
            <w:r>
              <w:rPr>
                <w:rFonts w:hint="eastAsia" w:ascii="仿宋_GB2312" w:hAnsi="仿宋_GB2312" w:eastAsia="仿宋_GB2312" w:cs="仿宋_GB2312"/>
                <w:color w:val="000000"/>
                <w:spacing w:val="-8"/>
                <w:kern w:val="0"/>
                <w:sz w:val="32"/>
                <w:szCs w:val="32"/>
                <w:shd w:val="clear" w:color="auto" w:fill="FFFFFF"/>
                <w:lang w:val="en-US" w:eastAsia="zh-CN"/>
              </w:rPr>
              <w:t>3</w:t>
            </w:r>
            <w:r>
              <w:rPr>
                <w:rFonts w:hint="eastAsia" w:ascii="仿宋_GB2312" w:hAnsi="仿宋_GB2312" w:eastAsia="仿宋_GB2312" w:cs="仿宋_GB2312"/>
                <w:color w:val="000000"/>
                <w:spacing w:val="-8"/>
                <w:kern w:val="0"/>
                <w:sz w:val="32"/>
                <w:szCs w:val="32"/>
                <w:shd w:val="clear" w:color="auto" w:fill="FFFFFF"/>
              </w:rPr>
              <w:t>0</w:t>
            </w:r>
            <w:r>
              <w:rPr>
                <w:rFonts w:hint="eastAsia" w:ascii="仿宋_GB2312" w:hAnsi="仿宋_GB2312" w:eastAsia="仿宋_GB2312" w:cs="仿宋_GB2312"/>
                <w:color w:val="000000"/>
                <w:spacing w:val="-8"/>
                <w:kern w:val="0"/>
                <w:sz w:val="32"/>
                <w:szCs w:val="32"/>
                <w:shd w:val="clear" w:color="auto" w:fill="FFFFFF"/>
                <w:lang w:val="en-US" w:eastAsia="zh-CN"/>
              </w:rPr>
              <w:t>(北京时间）</w:t>
            </w:r>
          </w:p>
          <w:p w14:paraId="43D990EB">
            <w:pPr>
              <w:widowControl/>
              <w:wordWrap/>
              <w:spacing w:before="0" w:after="0" w:line="360" w:lineRule="auto"/>
              <w:ind w:left="0" w:leftChars="0" w:right="0"/>
              <w:jc w:val="both"/>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w:t>
            </w:r>
            <w:r>
              <w:rPr>
                <w:rFonts w:hint="eastAsia" w:ascii="仿宋_GB2312" w:hAnsi="仿宋_GB2312" w:eastAsia="仿宋_GB2312" w:cs="仿宋_GB2312"/>
                <w:color w:val="000000"/>
                <w:kern w:val="0"/>
                <w:sz w:val="32"/>
                <w:szCs w:val="32"/>
                <w:u w:val="none" w:color="auto"/>
                <w:lang w:val="en-US" w:eastAsia="zh-CN"/>
              </w:rPr>
              <w:t xml:space="preserve"> 2025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6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u w:val="single"/>
                <w:lang w:val="en-US" w:eastAsia="zh-CN"/>
              </w:rPr>
              <w:t>18</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9:00</w:t>
            </w:r>
          </w:p>
        </w:tc>
      </w:tr>
      <w:tr w14:paraId="2834274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B7F56C4">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8C27308">
            <w:pPr>
              <w:widowControl/>
              <w:wordWrap/>
              <w:spacing w:before="0" w:after="0" w:line="360" w:lineRule="auto"/>
              <w:ind w:left="0" w:leftChars="0" w:right="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lang w:val="en-US" w:eastAsia="zh-CN"/>
              </w:rPr>
              <w:t>投标</w:t>
            </w:r>
            <w:r>
              <w:rPr>
                <w:rFonts w:hint="eastAsia" w:ascii="仿宋_GB2312" w:hAnsi="仿宋_GB2312" w:eastAsia="仿宋_GB2312" w:cs="仿宋_GB2312"/>
                <w:color w:val="000000"/>
                <w:sz w:val="32"/>
                <w:szCs w:val="32"/>
                <w:highlight w:val="none"/>
              </w:rPr>
              <w:t>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份胶装并密封加盖投标人公章。文件未胶装将视为无效。</w:t>
            </w:r>
          </w:p>
        </w:tc>
      </w:tr>
      <w:tr w14:paraId="30D36BD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CEE21F4">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9477E54">
            <w:pPr>
              <w:widowControl/>
              <w:wordWrap/>
              <w:spacing w:before="0" w:after="0" w:line="360" w:lineRule="auto"/>
              <w:ind w:left="0" w:leftChars="0" w:right="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投标</w:t>
            </w:r>
            <w:r>
              <w:rPr>
                <w:rFonts w:hint="eastAsia" w:ascii="仿宋_GB2312" w:hAnsi="仿宋_GB2312" w:eastAsia="仿宋_GB2312" w:cs="仿宋_GB2312"/>
                <w:color w:val="000000"/>
                <w:kern w:val="0"/>
                <w:sz w:val="32"/>
                <w:szCs w:val="32"/>
              </w:rPr>
              <w:t>文件递交处：福建省肿瘤医院</w:t>
            </w:r>
            <w:r>
              <w:rPr>
                <w:rFonts w:hint="eastAsia" w:ascii="仿宋_GB2312" w:hAnsi="仿宋_GB2312" w:eastAsia="仿宋_GB2312" w:cs="仿宋_GB2312"/>
                <w:color w:val="000000"/>
                <w:kern w:val="0"/>
                <w:sz w:val="32"/>
                <w:szCs w:val="32"/>
                <w:lang w:val="en-US" w:eastAsia="zh-CN"/>
              </w:rPr>
              <w:t>网络技术中心</w:t>
            </w:r>
          </w:p>
        </w:tc>
      </w:tr>
      <w:tr w14:paraId="34C9783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8B85806">
            <w:pPr>
              <w:widowControl/>
              <w:wordWrap/>
              <w:spacing w:before="0" w:after="0" w:line="360" w:lineRule="auto"/>
              <w:ind w:left="0" w:leftChars="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7B52A07">
            <w:pPr>
              <w:widowControl/>
              <w:wordWrap/>
              <w:spacing w:before="0" w:after="0" w:line="360" w:lineRule="auto"/>
              <w:ind w:left="0" w:leftChars="0" w:right="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上述时间、地点如有变动，以单位届时通知为准。</w:t>
            </w:r>
          </w:p>
        </w:tc>
      </w:tr>
      <w:tr w14:paraId="781CDF00">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006315E">
            <w:pPr>
              <w:widowControl/>
              <w:wordWrap/>
              <w:spacing w:before="0" w:after="0" w:line="360" w:lineRule="auto"/>
              <w:ind w:left="0" w:leftChars="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7BD064B">
            <w:pPr>
              <w:widowControl/>
              <w:shd w:val="clear" w:color="auto" w:fill="FFFFFF"/>
              <w:wordWrap/>
              <w:adjustRightInd w:val="0"/>
              <w:snapToGrid w:val="0"/>
              <w:spacing w:before="0" w:after="0" w:line="360" w:lineRule="auto"/>
              <w:ind w:left="0" w:leftChars="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kern w:val="0"/>
                <w:sz w:val="32"/>
                <w:szCs w:val="32"/>
                <w:shd w:val="clear" w:color="auto" w:fill="FFFFFF"/>
              </w:rPr>
              <w:t>采购报名、采购调研等采购过程中有任何异议，可联系我院监督科室。电话：83660063-8407；83660063-8467。</w:t>
            </w:r>
          </w:p>
        </w:tc>
      </w:tr>
    </w:tbl>
    <w:p w14:paraId="288F730F">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rPr>
      </w:pPr>
    </w:p>
    <w:p w14:paraId="1E958775">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地　址： 福建省福州市福马路420号</w:t>
      </w:r>
      <w:r>
        <w:rPr>
          <w:rFonts w:hint="eastAsia" w:ascii="仿宋_GB2312" w:hAnsi="仿宋_GB2312" w:eastAsia="仿宋_GB2312" w:cs="仿宋_GB2312"/>
          <w:b w:val="0"/>
          <w:bCs/>
          <w:color w:val="000000"/>
          <w:kern w:val="0"/>
          <w:sz w:val="32"/>
          <w:szCs w:val="32"/>
          <w:shd w:val="clear" w:color="auto" w:fill="FFFFFF"/>
          <w:lang w:val="en-US" w:eastAsia="zh-CN"/>
        </w:rPr>
        <w:t xml:space="preserve"> </w:t>
      </w:r>
    </w:p>
    <w:p w14:paraId="21DAD3EA">
      <w:pPr>
        <w:widowControl/>
        <w:shd w:val="clear" w:color="auto" w:fill="FFFFFF"/>
        <w:wordWrap/>
        <w:spacing w:before="0" w:after="0" w:line="360" w:lineRule="auto"/>
        <w:ind w:left="0" w:leftChars="0" w:right="0" w:firstLine="420" w:firstLineChars="0"/>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000000"/>
          <w:kern w:val="0"/>
          <w:sz w:val="32"/>
          <w:szCs w:val="32"/>
          <w:shd w:val="clear" w:color="auto" w:fill="FFFFFF"/>
          <w:lang w:val="en-US" w:eastAsia="zh-CN"/>
        </w:rPr>
        <w:t>福建</w:t>
      </w:r>
      <w:r>
        <w:rPr>
          <w:rFonts w:hint="eastAsia" w:ascii="仿宋_GB2312" w:hAnsi="仿宋_GB2312" w:eastAsia="仿宋_GB2312" w:cs="仿宋_GB2312"/>
          <w:b w:val="0"/>
          <w:bCs/>
          <w:color w:val="000000"/>
          <w:kern w:val="0"/>
          <w:sz w:val="32"/>
          <w:szCs w:val="32"/>
          <w:shd w:val="clear" w:color="auto" w:fill="FFFFFF"/>
        </w:rPr>
        <w:t>省肿瘤医院</w:t>
      </w:r>
      <w:r>
        <w:rPr>
          <w:rFonts w:hint="eastAsia" w:ascii="仿宋_GB2312" w:hAnsi="仿宋_GB2312" w:eastAsia="仿宋_GB2312" w:cs="仿宋_GB2312"/>
          <w:b w:val="0"/>
          <w:bCs/>
          <w:color w:val="000000"/>
          <w:kern w:val="0"/>
          <w:sz w:val="32"/>
          <w:szCs w:val="32"/>
          <w:shd w:val="clear" w:color="auto" w:fill="FFFFFF"/>
          <w:lang w:val="en-US" w:eastAsia="zh-CN"/>
        </w:rPr>
        <w:t>科研楼四楼网络技术中心</w:t>
      </w:r>
    </w:p>
    <w:p w14:paraId="765E0B3B">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rPr>
        <w:t>邮　编： 350014　 </w:t>
      </w:r>
    </w:p>
    <w:p w14:paraId="3F67B70E">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lang w:val="en-US" w:eastAsia="zh-CN"/>
        </w:rPr>
        <w:t>报名联系</w:t>
      </w:r>
      <w:r>
        <w:rPr>
          <w:rFonts w:hint="eastAsia" w:ascii="仿宋_GB2312" w:hAnsi="仿宋_GB2312" w:eastAsia="仿宋_GB2312" w:cs="仿宋_GB2312"/>
          <w:b w:val="0"/>
          <w:bCs/>
          <w:color w:val="000000"/>
          <w:kern w:val="0"/>
          <w:sz w:val="32"/>
          <w:szCs w:val="32"/>
          <w:shd w:val="clear" w:color="auto" w:fill="FFFFFF"/>
        </w:rPr>
        <w:t>电话： 0591-83660063-8822</w:t>
      </w:r>
    </w:p>
    <w:p w14:paraId="3D242F5C">
      <w:pPr>
        <w:widowControl/>
        <w:shd w:val="clear" w:color="auto" w:fill="FFFFFF"/>
        <w:wordWrap/>
        <w:spacing w:before="0" w:after="0" w:line="360" w:lineRule="auto"/>
        <w:ind w:left="0" w:leftChars="0" w:right="0"/>
        <w:jc w:val="both"/>
        <w:rPr>
          <w:rFonts w:hint="default"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 xml:space="preserve">联系人： </w:t>
      </w:r>
      <w:r>
        <w:rPr>
          <w:rFonts w:hint="eastAsia" w:ascii="仿宋_GB2312" w:hAnsi="仿宋_GB2312" w:eastAsia="仿宋_GB2312" w:cs="仿宋_GB2312"/>
          <w:b w:val="0"/>
          <w:bCs/>
          <w:color w:val="000000"/>
          <w:kern w:val="0"/>
          <w:sz w:val="32"/>
          <w:szCs w:val="32"/>
          <w:shd w:val="clear" w:color="auto" w:fill="FFFFFF"/>
          <w:lang w:val="en-US" w:eastAsia="zh-CN"/>
        </w:rPr>
        <w:t>郑工</w:t>
      </w:r>
    </w:p>
    <w:p w14:paraId="20FA7A12">
      <w:pPr>
        <w:pStyle w:val="2"/>
        <w:wordWrap/>
        <w:spacing w:before="0" w:after="0" w:line="360" w:lineRule="auto"/>
        <w:ind w:left="0" w:leftChars="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2A144C82">
      <w:pPr>
        <w:widowControl/>
        <w:shd w:val="clear" w:color="auto" w:fill="FFFFFF"/>
        <w:wordWrap/>
        <w:adjustRightInd w:val="0"/>
        <w:snapToGrid w:val="0"/>
        <w:spacing w:before="0" w:after="0" w:line="360" w:lineRule="auto"/>
        <w:ind w:left="0" w:leftChars="0" w:right="0" w:firstLine="420" w:firstLineChars="0"/>
        <w:jc w:val="center"/>
        <w:textAlignment w:val="auto"/>
        <w:rPr>
          <w:rFonts w:hint="eastAsia" w:ascii="黑体" w:hAnsi="黑体" w:eastAsia="黑体" w:cs="黑体"/>
          <w:b w:val="0"/>
          <w:bCs/>
          <w:color w:val="000000"/>
          <w:kern w:val="0"/>
          <w:sz w:val="32"/>
          <w:szCs w:val="32"/>
          <w:shd w:val="clear" w:color="auto" w:fill="FFFFFF"/>
          <w:lang w:val="en-US" w:eastAsia="zh-CN"/>
        </w:rPr>
      </w:pPr>
      <w:r>
        <w:rPr>
          <w:rFonts w:hint="eastAsia" w:ascii="黑体" w:hAnsi="黑体" w:eastAsia="黑体" w:cs="黑体"/>
          <w:b w:val="0"/>
          <w:bCs/>
          <w:color w:val="000000"/>
          <w:kern w:val="0"/>
          <w:sz w:val="32"/>
          <w:szCs w:val="32"/>
          <w:shd w:val="clear" w:color="auto" w:fill="FFFFFF"/>
          <w:lang w:val="en-US" w:eastAsia="zh-CN"/>
        </w:rPr>
        <w:t>第二部分 具体要求</w:t>
      </w:r>
    </w:p>
    <w:p w14:paraId="5FB3B49C">
      <w:pPr>
        <w:widowControl/>
        <w:shd w:val="clear" w:color="auto" w:fill="FFFFFF"/>
        <w:wordWrap/>
        <w:spacing w:before="0" w:after="0" w:line="360" w:lineRule="auto"/>
        <w:ind w:left="0" w:leftChars="0" w:right="0"/>
        <w:jc w:val="both"/>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lang w:val="en-US" w:eastAsia="zh-CN"/>
        </w:rPr>
        <w:t>一、</w:t>
      </w:r>
      <w:r>
        <w:rPr>
          <w:rFonts w:hint="eastAsia" w:ascii="仿宋_GB2312" w:hAnsi="仿宋_GB2312" w:eastAsia="仿宋_GB2312" w:cs="仿宋_GB2312"/>
          <w:b/>
          <w:color w:val="000000"/>
          <w:kern w:val="0"/>
          <w:sz w:val="32"/>
          <w:szCs w:val="32"/>
          <w:shd w:val="clear" w:color="auto" w:fill="FFFFFF"/>
        </w:rPr>
        <w:t>采购内容</w:t>
      </w:r>
    </w:p>
    <w:tbl>
      <w:tblPr>
        <w:tblStyle w:val="6"/>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3178"/>
        <w:gridCol w:w="1590"/>
        <w:gridCol w:w="1894"/>
      </w:tblGrid>
      <w:tr w14:paraId="4693F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697" w:type="dxa"/>
            <w:vAlign w:val="center"/>
          </w:tcPr>
          <w:p w14:paraId="4C8848A5">
            <w:pPr>
              <w:widowControl/>
              <w:wordWrap/>
              <w:spacing w:before="0" w:after="0" w:line="360" w:lineRule="auto"/>
              <w:ind w:left="0" w:leftChars="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kern w:val="0"/>
                <w:sz w:val="28"/>
                <w:szCs w:val="28"/>
                <w:lang w:val="en-US" w:eastAsia="zh-CN"/>
              </w:rPr>
              <w:t>合同包</w:t>
            </w:r>
          </w:p>
        </w:tc>
        <w:tc>
          <w:tcPr>
            <w:tcW w:w="3178" w:type="dxa"/>
            <w:vAlign w:val="center"/>
          </w:tcPr>
          <w:p w14:paraId="1589E7AF">
            <w:pPr>
              <w:widowControl/>
              <w:wordWrap/>
              <w:spacing w:before="0" w:after="0" w:line="360" w:lineRule="auto"/>
              <w:ind w:left="0" w:leftChars="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名 称</w:t>
            </w:r>
          </w:p>
        </w:tc>
        <w:tc>
          <w:tcPr>
            <w:tcW w:w="1590" w:type="dxa"/>
            <w:vAlign w:val="center"/>
          </w:tcPr>
          <w:p w14:paraId="3225B60C">
            <w:pPr>
              <w:widowControl/>
              <w:wordWrap/>
              <w:spacing w:before="0" w:after="0" w:line="360" w:lineRule="auto"/>
              <w:ind w:left="0" w:leftChars="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数量</w:t>
            </w:r>
          </w:p>
        </w:tc>
        <w:tc>
          <w:tcPr>
            <w:tcW w:w="1894" w:type="dxa"/>
            <w:vAlign w:val="center"/>
          </w:tcPr>
          <w:p w14:paraId="3F199DDB">
            <w:pPr>
              <w:widowControl/>
              <w:wordWrap/>
              <w:spacing w:before="0" w:after="0" w:line="360" w:lineRule="auto"/>
              <w:ind w:left="0" w:leftChars="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预算（万元）</w:t>
            </w:r>
          </w:p>
        </w:tc>
      </w:tr>
      <w:tr w14:paraId="661DC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exact"/>
        </w:trPr>
        <w:tc>
          <w:tcPr>
            <w:tcW w:w="2697" w:type="dxa"/>
            <w:vAlign w:val="center"/>
          </w:tcPr>
          <w:p w14:paraId="1FDA24EB">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一）</w:t>
            </w:r>
          </w:p>
        </w:tc>
        <w:tc>
          <w:tcPr>
            <w:tcW w:w="3178" w:type="dxa"/>
            <w:vAlign w:val="center"/>
          </w:tcPr>
          <w:p w14:paraId="5669A04E">
            <w:pPr>
              <w:widowControl/>
              <w:wordWrap/>
              <w:spacing w:before="0" w:after="0" w:line="360" w:lineRule="auto"/>
              <w:ind w:left="0" w:leftChars="0" w:right="0"/>
              <w:jc w:val="center"/>
              <w:rPr>
                <w:rFonts w:hint="default" w:ascii="仿宋_GB2312" w:hAnsi="仿宋_GB2312" w:eastAsia="仿宋_GB2312" w:cs="仿宋_GB2312"/>
                <w:kern w:val="0"/>
                <w:sz w:val="32"/>
                <w:szCs w:val="32"/>
                <w:lang w:val="en-US"/>
              </w:rPr>
            </w:pPr>
            <w:r>
              <w:rPr>
                <w:rFonts w:hint="eastAsia" w:ascii="仿宋_GB2312" w:hAnsi="仿宋_GB2312" w:eastAsia="仿宋_GB2312" w:cs="仿宋_GB2312"/>
                <w:color w:val="000000"/>
                <w:kern w:val="0"/>
                <w:sz w:val="32"/>
                <w:szCs w:val="32"/>
                <w:lang w:val="en-US" w:eastAsia="zh-CN"/>
              </w:rPr>
              <w:t>肿瘤大数据平台</w:t>
            </w:r>
          </w:p>
        </w:tc>
        <w:tc>
          <w:tcPr>
            <w:tcW w:w="1590" w:type="dxa"/>
            <w:vAlign w:val="center"/>
          </w:tcPr>
          <w:p w14:paraId="76BB21CF">
            <w:pPr>
              <w:wordWrap/>
              <w:autoSpaceDN w:val="0"/>
              <w:spacing w:before="0" w:after="0" w:line="360" w:lineRule="auto"/>
              <w:ind w:left="0" w:leftChars="0" w:right="0"/>
              <w:jc w:val="both"/>
              <w:textAlignment w:val="center"/>
              <w:rPr>
                <w:rFonts w:hint="default" w:ascii="仿宋_GB2312" w:hAnsi="仿宋_GB2312" w:eastAsia="仿宋_GB2312" w:cs="仿宋_GB2312"/>
                <w:kern w:val="0"/>
                <w:sz w:val="32"/>
                <w:szCs w:val="32"/>
                <w:lang w:val="en-US"/>
              </w:rPr>
            </w:pPr>
            <w:r>
              <w:rPr>
                <w:rFonts w:hint="eastAsia" w:ascii="仿宋_GB2312" w:hAnsi="仿宋_GB2312" w:eastAsia="仿宋_GB2312" w:cs="仿宋_GB2312"/>
                <w:b w:val="0"/>
                <w:i w:val="0"/>
                <w:color w:val="000000"/>
                <w:sz w:val="32"/>
                <w:szCs w:val="32"/>
                <w:u w:val="none"/>
                <w:lang w:val="en-US" w:eastAsia="zh-CN"/>
              </w:rPr>
              <w:t xml:space="preserve"> 1</w:t>
            </w:r>
          </w:p>
        </w:tc>
        <w:tc>
          <w:tcPr>
            <w:tcW w:w="1894" w:type="dxa"/>
            <w:vAlign w:val="center"/>
          </w:tcPr>
          <w:p w14:paraId="1B766CED">
            <w:pPr>
              <w:wordWrap/>
              <w:autoSpaceDN w:val="0"/>
              <w:spacing w:before="0" w:after="0" w:line="360" w:lineRule="auto"/>
              <w:ind w:left="0" w:leftChars="0" w:right="0"/>
              <w:jc w:val="both"/>
              <w:textAlignment w:val="center"/>
              <w:rPr>
                <w:rFonts w:hint="default" w:ascii="仿宋_GB2312" w:hAnsi="仿宋_GB2312" w:eastAsia="仿宋_GB2312" w:cs="仿宋_GB2312"/>
                <w:kern w:val="0"/>
                <w:sz w:val="32"/>
                <w:szCs w:val="32"/>
                <w:lang w:val="en-US"/>
              </w:rPr>
            </w:pPr>
            <w:r>
              <w:rPr>
                <w:rFonts w:hint="eastAsia" w:ascii="仿宋_GB2312" w:hAnsi="仿宋_GB2312" w:eastAsia="仿宋_GB2312" w:cs="仿宋_GB2312"/>
                <w:b w:val="0"/>
                <w:i w:val="0"/>
                <w:color w:val="000000"/>
                <w:sz w:val="32"/>
                <w:szCs w:val="32"/>
                <w:u w:val="none"/>
                <w:lang w:val="en-US" w:eastAsia="zh-CN"/>
              </w:rPr>
              <w:t xml:space="preserve"> 150</w:t>
            </w:r>
          </w:p>
        </w:tc>
      </w:tr>
    </w:tbl>
    <w:p w14:paraId="38ED3C46">
      <w:pPr>
        <w:rPr>
          <w:rFonts w:hint="eastAsia"/>
          <w:lang w:val="en-US" w:eastAsia="zh-CN"/>
        </w:rPr>
      </w:pPr>
    </w:p>
    <w:p w14:paraId="5A3D1100">
      <w:pPr>
        <w:keepNext/>
        <w:widowControl/>
        <w:numPr>
          <w:ilvl w:val="0"/>
          <w:numId w:val="0"/>
        </w:numPr>
        <w:shd w:val="clear" w:color="auto" w:fill="FFFFFF"/>
        <w:wordWrap/>
        <w:autoSpaceDE w:val="0"/>
        <w:spacing w:before="0" w:after="0" w:line="360" w:lineRule="auto"/>
        <w:ind w:left="0" w:leftChars="0" w:right="0"/>
        <w:jc w:val="both"/>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lang w:val="en-US" w:eastAsia="zh-CN"/>
        </w:rPr>
        <w:t>二、</w:t>
      </w:r>
      <w:r>
        <w:rPr>
          <w:rFonts w:hint="eastAsia" w:ascii="仿宋_GB2312" w:hAnsi="仿宋_GB2312" w:eastAsia="仿宋_GB2312" w:cs="仿宋_GB2312"/>
          <w:b/>
          <w:color w:val="000000"/>
          <w:kern w:val="0"/>
          <w:sz w:val="32"/>
          <w:szCs w:val="32"/>
          <w:shd w:val="clear" w:color="auto" w:fill="FFFFFF"/>
        </w:rPr>
        <w:t>技术功能及服务要求</w:t>
      </w:r>
    </w:p>
    <w:p w14:paraId="37AA6B89">
      <w:pPr>
        <w:pStyle w:val="2"/>
        <w:numPr>
          <w:ilvl w:val="0"/>
          <w:numId w:val="0"/>
        </w:numPr>
        <w:wordWrap/>
        <w:spacing w:before="0" w:after="0" w:line="360" w:lineRule="auto"/>
        <w:ind w:left="0" w:leftChars="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1、合同包（一）</w:t>
      </w:r>
    </w:p>
    <w:tbl>
      <w:tblPr>
        <w:tblStyle w:val="7"/>
        <w:tblW w:w="9002"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977"/>
        <w:gridCol w:w="5975"/>
      </w:tblGrid>
      <w:tr w14:paraId="3F65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6269C6AF">
            <w:pPr>
              <w:wordWrap/>
              <w:spacing w:before="0" w:after="0" w:line="360" w:lineRule="auto"/>
              <w:ind w:left="0" w:leftChars="0" w:right="0" w:rightChars="0"/>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sz w:val="28"/>
                <w:szCs w:val="28"/>
                <w:lang w:val="en-US" w:eastAsia="zh-CN"/>
              </w:rPr>
              <w:t>序号</w:t>
            </w:r>
          </w:p>
        </w:tc>
        <w:tc>
          <w:tcPr>
            <w:tcW w:w="1977" w:type="dxa"/>
            <w:vAlign w:val="center"/>
          </w:tcPr>
          <w:p w14:paraId="00271448">
            <w:pPr>
              <w:wordWrap/>
              <w:spacing w:before="0" w:after="0" w:line="360" w:lineRule="auto"/>
              <w:ind w:left="0" w:leftChars="0" w:right="0" w:rightChars="0"/>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sz w:val="28"/>
                <w:szCs w:val="28"/>
                <w:lang w:val="en-US" w:eastAsia="zh-CN"/>
              </w:rPr>
              <w:t>项目</w:t>
            </w:r>
          </w:p>
        </w:tc>
        <w:tc>
          <w:tcPr>
            <w:tcW w:w="5975" w:type="dxa"/>
            <w:vAlign w:val="center"/>
          </w:tcPr>
          <w:p w14:paraId="37A4EDB5">
            <w:pPr>
              <w:wordWrap/>
              <w:spacing w:before="0" w:after="0" w:line="360" w:lineRule="auto"/>
              <w:ind w:left="0" w:leftChars="0" w:right="0" w:rightChars="0"/>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sz w:val="28"/>
                <w:szCs w:val="28"/>
                <w:lang w:val="en-US" w:eastAsia="zh-CN"/>
              </w:rPr>
              <w:t>技术参数要求</w:t>
            </w:r>
          </w:p>
        </w:tc>
      </w:tr>
      <w:tr w14:paraId="18A7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699E57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977" w:type="dxa"/>
          </w:tcPr>
          <w:p w14:paraId="017B997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元数据管理</w:t>
            </w:r>
          </w:p>
        </w:tc>
        <w:tc>
          <w:tcPr>
            <w:tcW w:w="5975" w:type="dxa"/>
          </w:tcPr>
          <w:p w14:paraId="243745AD">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both"/>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sz w:val="28"/>
                <w:szCs w:val="28"/>
                <w:lang w:val="en-US" w:eastAsia="zh-CN"/>
              </w:rPr>
              <w:t>提供元数据的创建、删除、检索、上传下载等功能，支持元数据设计、术语服务集成、分类管理及多种检索方式（关键词检索、全文检索等），确保元数据功能完整且覆盖标准。</w:t>
            </w:r>
          </w:p>
        </w:tc>
      </w:tr>
      <w:tr w14:paraId="322B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C5B6FC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977" w:type="dxa"/>
          </w:tcPr>
          <w:p w14:paraId="30B8FAB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大数据治理模型管理</w:t>
            </w:r>
          </w:p>
        </w:tc>
        <w:tc>
          <w:tcPr>
            <w:tcW w:w="5975" w:type="dxa"/>
          </w:tcPr>
          <w:p w14:paraId="0C98F66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支持数据建模空间管理、医疗数据模型设计、模型差异稽核、变更管控及版本管理，提供模板编辑和导入导出功能，确保数据模型与架构一致，提升数据质量。</w:t>
            </w:r>
          </w:p>
        </w:tc>
      </w:tr>
      <w:tr w14:paraId="0E4C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D497F7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977" w:type="dxa"/>
          </w:tcPr>
          <w:p w14:paraId="1AAEA7B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大数据平台存储管理</w:t>
            </w:r>
          </w:p>
        </w:tc>
        <w:tc>
          <w:tcPr>
            <w:tcW w:w="5975" w:type="dxa"/>
          </w:tcPr>
          <w:p w14:paraId="1DA1484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实现模型转化为关系数据库的能力，支持临床信息数据库建设、数据分层架构设计及专科专病数据仓库建设，具备数据量监控和异常数据检测功能。</w:t>
            </w:r>
          </w:p>
        </w:tc>
      </w:tr>
      <w:tr w14:paraId="0149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ADCA9D9">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977" w:type="dxa"/>
          </w:tcPr>
          <w:p w14:paraId="74A8F0C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大数据集成抽取引擎</w:t>
            </w:r>
          </w:p>
        </w:tc>
        <w:tc>
          <w:tcPr>
            <w:tcW w:w="5975" w:type="dxa"/>
          </w:tcPr>
          <w:p w14:paraId="41B4BC8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提供可视化集成开发功能，支持多种数据源连接（如TCP/IP、HL7等）、消息中间件能力及数据采集功能，确保数据完整性和一致性，支持结构化和非结构化数据处理。</w:t>
            </w:r>
          </w:p>
        </w:tc>
      </w:tr>
      <w:tr w14:paraId="00C9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EAFA40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977" w:type="dxa"/>
          </w:tcPr>
          <w:p w14:paraId="174B78F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sz w:val="28"/>
                <w:szCs w:val="28"/>
                <w:lang w:val="en-US" w:eastAsia="zh-CN"/>
              </w:rPr>
            </w:pPr>
            <w:bookmarkStart w:id="0" w:name="OLE_LINK4"/>
            <w:r>
              <w:rPr>
                <w:rFonts w:hint="eastAsia" w:ascii="仿宋_GB2312" w:hAnsi="仿宋_GB2312" w:eastAsia="仿宋_GB2312" w:cs="仿宋_GB2312"/>
                <w:sz w:val="28"/>
                <w:szCs w:val="28"/>
                <w:lang w:val="en-US" w:eastAsia="zh-CN"/>
              </w:rPr>
              <w:t>大数据质量规则管理</w:t>
            </w:r>
            <w:bookmarkEnd w:id="0"/>
          </w:p>
        </w:tc>
        <w:tc>
          <w:tcPr>
            <w:tcW w:w="5975" w:type="dxa"/>
          </w:tcPr>
          <w:p w14:paraId="39819D8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管理数据质量规则，按完整性、合理性等维度分类，支持规则自动同步、自定义规则项及手动同步，提供规则推荐功能，确保数据质量可控。</w:t>
            </w:r>
          </w:p>
        </w:tc>
      </w:tr>
      <w:tr w14:paraId="33A3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5152B0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1977" w:type="dxa"/>
          </w:tcPr>
          <w:p w14:paraId="123610A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数据质量评估</w:t>
            </w:r>
          </w:p>
        </w:tc>
        <w:tc>
          <w:tcPr>
            <w:tcW w:w="5975" w:type="dxa"/>
          </w:tcPr>
          <w:p w14:paraId="41A68CD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支持评估任务定制、执行流程管理及结果报告生成，提供数据质量评分和治理建议，支持通过邮件、短信等方式发送预警信息。</w:t>
            </w:r>
          </w:p>
        </w:tc>
      </w:tr>
      <w:tr w14:paraId="3C07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6054EB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1977" w:type="dxa"/>
          </w:tcPr>
          <w:p w14:paraId="33FB5B3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大数据治理</w:t>
            </w:r>
          </w:p>
        </w:tc>
        <w:tc>
          <w:tcPr>
            <w:tcW w:w="5975" w:type="dxa"/>
          </w:tcPr>
          <w:p w14:paraId="5719F90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实现治理任务管理、数据搜索、清理和调整功能，支持数据输出到文件或数据库，提供工具箱调用（如术语映射、脚本等），确保数据治理流程高效。</w:t>
            </w:r>
          </w:p>
        </w:tc>
      </w:tr>
      <w:tr w14:paraId="2F22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05CA64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1977" w:type="dxa"/>
          </w:tcPr>
          <w:p w14:paraId="4CE7DA5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肿瘤数据子集建设</w:t>
            </w:r>
          </w:p>
        </w:tc>
        <w:tc>
          <w:tcPr>
            <w:tcW w:w="5975" w:type="dxa"/>
          </w:tcPr>
          <w:p w14:paraId="3E53484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针对肝癌、宫颈癌、胃癌、肺癌、乳腺癌、结直肠癌、黑色素瘤、甲状腺癌、食管癌、前列腺癌、鼻咽癌等病种构建基础数据集和个性化数据集，涵盖人口信息、临床诊断、检验、影像等维度，支持结构化处理和定制化需求。</w:t>
            </w:r>
          </w:p>
        </w:tc>
      </w:tr>
      <w:tr w14:paraId="47A6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2F70D5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1977" w:type="dxa"/>
          </w:tcPr>
          <w:p w14:paraId="47EC906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病例全息视图</w:t>
            </w:r>
          </w:p>
        </w:tc>
        <w:tc>
          <w:tcPr>
            <w:tcW w:w="5975" w:type="dxa"/>
          </w:tcPr>
          <w:p w14:paraId="4BFF703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以患者为核心，整合诊疗、临床等数据，提供时间轴视图、全息视图和摘要视图，支持图形化管理和多院区应用，便于科研和临床使用。</w:t>
            </w:r>
          </w:p>
        </w:tc>
      </w:tr>
      <w:tr w14:paraId="0D1F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1C99FA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1977" w:type="dxa"/>
          </w:tcPr>
          <w:p w14:paraId="6CF9843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sz w:val="28"/>
                <w:szCs w:val="28"/>
                <w:lang w:val="en-US" w:eastAsia="zh-CN"/>
              </w:rPr>
            </w:pPr>
            <w:bookmarkStart w:id="1" w:name="OLE_LINK5"/>
            <w:r>
              <w:rPr>
                <w:rFonts w:hint="eastAsia" w:ascii="仿宋_GB2312" w:hAnsi="仿宋_GB2312" w:eastAsia="仿宋_GB2312" w:cs="仿宋_GB2312"/>
                <w:sz w:val="28"/>
                <w:szCs w:val="28"/>
                <w:lang w:val="en-US" w:eastAsia="zh-CN"/>
              </w:rPr>
              <w:t>大数据检索系统</w:t>
            </w:r>
            <w:bookmarkEnd w:id="1"/>
          </w:p>
        </w:tc>
        <w:tc>
          <w:tcPr>
            <w:tcW w:w="5975" w:type="dxa"/>
          </w:tcPr>
          <w:p w14:paraId="252CC3E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支持自定义检索条件（全文检索、拼音检索等）、组合检索和数据过滤，提供隐私安全设置（如脱敏处理）和日志审计功能，确保检索高效且安全。</w:t>
            </w:r>
          </w:p>
        </w:tc>
      </w:tr>
    </w:tbl>
    <w:p w14:paraId="581BFB8C">
      <w:pPr>
        <w:numPr>
          <w:ilvl w:val="0"/>
          <w:numId w:val="0"/>
        </w:numPr>
        <w:wordWrap/>
        <w:spacing w:before="0" w:after="0" w:line="360" w:lineRule="auto"/>
        <w:ind w:left="0" w:leftChars="0" w:right="0"/>
        <w:jc w:val="both"/>
        <w:rPr>
          <w:rFonts w:hint="eastAsia" w:ascii="仿宋_GB2312" w:hAnsi="仿宋_GB2312" w:eastAsia="仿宋_GB2312" w:cs="仿宋_GB2312"/>
          <w:b/>
          <w:bCs/>
          <w:sz w:val="32"/>
          <w:szCs w:val="32"/>
          <w:lang w:val="en-US" w:eastAsia="zh-CN"/>
        </w:rPr>
      </w:pPr>
    </w:p>
    <w:p w14:paraId="3793A6B5">
      <w:pPr>
        <w:numPr>
          <w:ilvl w:val="0"/>
          <w:numId w:val="1"/>
        </w:numPr>
        <w:wordWrap/>
        <w:spacing w:before="0" w:after="0" w:line="360" w:lineRule="auto"/>
        <w:ind w:left="0" w:leftChars="0" w:right="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其他要求</w:t>
      </w:r>
    </w:p>
    <w:p w14:paraId="106FD64F">
      <w:pPr>
        <w:pStyle w:val="9"/>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本项目系统须同时覆盖我院滨海院区，功能与技术要求与本部院区一致。应结合我院实际医疗及管理需要，对系统进行客户化修改，包括但不限于结合医院实际管理需求。</w:t>
      </w:r>
    </w:p>
    <w:p w14:paraId="0E934F6A">
      <w:pPr>
        <w:pStyle w:val="9"/>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于本项目需符合国产化要求，必须配备正版的国产化操作系统、数据库、中间件及前端国产化工作站。同时本项目验收前须提供有资质的第三方公司开展的密码应用安全性测评、信息技术应用创新符合性测试，并提供相关的证明。暂时未能实现的，后续政策要求时不再另行收费，并在投标文件中出具承诺函。</w:t>
      </w:r>
    </w:p>
    <w:p w14:paraId="51C36243">
      <w:pPr>
        <w:pStyle w:val="9"/>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本项目需符合《信息安全技术网络安全等级保护基本要求》GB/T22239-2019（三级）要求（下文简称：三级等保2.0）及密码应用安全性评估，并在以上评审中协助完成本系统评审工作。</w:t>
      </w:r>
    </w:p>
    <w:p w14:paraId="6CB4AD62">
      <w:pPr>
        <w:pStyle w:val="9"/>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年内免费实施政策性国家、省市各平台的数据接口、数据上传等服务及免费实施国密改造、国产化改造，包括但不限于：福建省卫健委居民健康综合服务平台、福建省检查检验结果互联互通互认平台、福建省卫健委多码融合项目等，产生相应指标，推送至医疗平台接口中（涉及其他系统，应与其他系统配合实施）。</w:t>
      </w:r>
    </w:p>
    <w:p w14:paraId="22138695">
      <w:pPr>
        <w:pStyle w:val="9"/>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本项目系统应提供与医院HIS，电子病历、危急值平台、报告平台、麻醉耗材、患者360（含HIS360、CDR360）等系统无缝集成接口，符合电子病历6级、医院的互联互通5级、智慧医院4级的建设要求。</w:t>
      </w:r>
    </w:p>
    <w:p w14:paraId="1A0706CD">
      <w:pPr>
        <w:pStyle w:val="9"/>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本项目为交钥匙工程，本项目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与各业务系统及设备的数据接口由中标人自行负责。本项目涉及院内现有各业务系统接口的，采购人不再向中标人支付接口费用。</w:t>
      </w:r>
    </w:p>
    <w:p w14:paraId="40CA831F">
      <w:pPr>
        <w:pStyle w:val="9"/>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14:paraId="28F3650D">
      <w:pPr>
        <w:pStyle w:val="9"/>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根据国家《医院信息系统功能规范》第十二条以及国家信息化建设审计要求，必须提供完整的总体设计报告、需求分析说明</w:t>
      </w:r>
      <w:r>
        <w:rPr>
          <w:rFonts w:hint="eastAsia" w:ascii="仿宋_GB2312" w:hAnsi="仿宋_GB2312" w:eastAsia="仿宋_GB2312" w:cs="仿宋_GB2312"/>
          <w:strike w:val="0"/>
          <w:dstrike w:val="0"/>
          <w:color w:val="auto"/>
          <w:sz w:val="32"/>
          <w:szCs w:val="32"/>
          <w:lang w:val="en-US" w:eastAsia="zh-CN"/>
        </w:rPr>
        <w:t>书、上线</w:t>
      </w:r>
      <w:r>
        <w:rPr>
          <w:rFonts w:hint="eastAsia" w:ascii="仿宋_GB2312" w:hAnsi="仿宋_GB2312" w:eastAsia="仿宋_GB2312" w:cs="仿宋_GB2312"/>
          <w:color w:val="auto"/>
          <w:sz w:val="32"/>
          <w:szCs w:val="32"/>
          <w:lang w:val="en-US" w:eastAsia="zh-CN"/>
        </w:rPr>
        <w:t>测试报告、操作使用手册、系统维护手册等。</w:t>
      </w:r>
    </w:p>
    <w:p w14:paraId="0E49B65A">
      <w:pPr>
        <w:pStyle w:val="9"/>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14:paraId="1FD43FC7">
      <w:pPr>
        <w:pStyle w:val="9"/>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14:paraId="240CA1C9">
      <w:pPr>
        <w:pStyle w:val="9"/>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与医院现有CA数字签名功能实现对接，满足医院各法规需要。</w:t>
      </w:r>
    </w:p>
    <w:p w14:paraId="1B50EE67">
      <w:pPr>
        <w:pStyle w:val="9"/>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若需接入医院APP(实现院外移动端查询)，则中标人应提供H5接口，并支付相应接口费用（不超过3万元），</w:t>
      </w:r>
      <w:r>
        <w:rPr>
          <w:rFonts w:hint="eastAsia" w:ascii="仿宋_GB2312" w:hAnsi="仿宋_GB2312" w:eastAsia="仿宋_GB2312" w:cs="仿宋_GB2312"/>
          <w:color w:val="auto"/>
          <w:sz w:val="32"/>
          <w:szCs w:val="32"/>
          <w:lang w:val="en-US" w:eastAsia="zh-CN"/>
        </w:rPr>
        <w:t>是否需接入医院APP以项目验收时采购人需求为准。</w:t>
      </w:r>
    </w:p>
    <w:p w14:paraId="12D5C053">
      <w:pPr>
        <w:pStyle w:val="9"/>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本项目系统在软件使用及维保有效期内，在每个使用科室使用的终端数量不受限制，数据不得加密，不得使用加密狗、打印加密、功能加密等任何软件使用约束。</w:t>
      </w:r>
    </w:p>
    <w:p w14:paraId="637364E6">
      <w:pPr>
        <w:pStyle w:val="9"/>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本项目软件部分按总价进行报价，不能以安装工作站数量进行报价。</w:t>
      </w:r>
    </w:p>
    <w:p w14:paraId="4A569922">
      <w:pPr>
        <w:pStyle w:val="9"/>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本项目系统需完成旧系统中的历史数据导入，旧系统中非自动产生的数据（如手工输入值等），在新系统中可不体现或以默认值体现。若有涉及接口费用，由中标方负责，采购人不再向中标人支付接口费用。</w:t>
      </w:r>
    </w:p>
    <w:p w14:paraId="538967EF">
      <w:pPr>
        <w:pStyle w:val="9"/>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本项目软件版面色彩、风格等应按医院要求设计制作；软件标题只能出现医院logo及系统名称，不能出现公司名称，公司名称允许在帮助（help）的关于（about）中出现。具体版面另行通知。</w:t>
      </w:r>
    </w:p>
    <w:p w14:paraId="5FE66269">
      <w:pPr>
        <w:pStyle w:val="9"/>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本项目系统安装调试并经验收合格后，应对采购方的相关人员提供关于系统应用时技术和操作方面的培训。相关培训费用应包含在投标总价中。</w:t>
      </w:r>
    </w:p>
    <w:p w14:paraId="75DCB1BB">
      <w:pPr>
        <w:pStyle w:val="9"/>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p>
    <w:p w14:paraId="4CD41E1B">
      <w:pPr>
        <w:pStyle w:val="2"/>
        <w:widowControl w:val="0"/>
        <w:numPr>
          <w:ilvl w:val="0"/>
          <w:numId w:val="1"/>
        </w:numPr>
        <w:wordWrap/>
        <w:overflowPunct w:val="0"/>
        <w:autoSpaceDE w:val="0"/>
        <w:autoSpaceDN w:val="0"/>
        <w:adjustRightInd w:val="0"/>
        <w:spacing w:before="0" w:after="0" w:line="360" w:lineRule="auto"/>
        <w:ind w:left="0" w:leftChars="0" w:right="0" w:firstLine="0" w:firstLineChars="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调研说明</w:t>
      </w:r>
    </w:p>
    <w:p w14:paraId="4D30056C">
      <w:pPr>
        <w:shd w:val="solid" w:color="FFFFFF" w:fill="auto"/>
        <w:wordWrap/>
        <w:autoSpaceDN w:val="0"/>
        <w:spacing w:before="0" w:after="0" w:line="360" w:lineRule="auto"/>
        <w:ind w:left="0" w:leftChars="0" w:right="0" w:firstLine="640" w:firstLineChars="200"/>
        <w:jc w:val="both"/>
        <w:rPr>
          <w:rFonts w:hint="eastAsia" w:ascii="仿宋_GB2312" w:hAnsi="仿宋_GB2312" w:eastAsia="仿宋_GB2312" w:cs="仿宋_GB2312"/>
          <w:b w:val="0"/>
          <w:bCs/>
          <w:sz w:val="32"/>
          <w:szCs w:val="32"/>
          <w:shd w:val="clear" w:color="auto" w:fill="FFFFFF"/>
          <w:lang w:eastAsia="zh-CN"/>
        </w:rPr>
      </w:pPr>
      <w:r>
        <w:rPr>
          <w:rFonts w:hint="eastAsia" w:ascii="仿宋_GB2312" w:hAnsi="仿宋_GB2312" w:eastAsia="仿宋_GB2312" w:cs="仿宋_GB2312"/>
          <w:b w:val="0"/>
          <w:bCs/>
          <w:sz w:val="32"/>
          <w:szCs w:val="32"/>
          <w:shd w:val="clear" w:color="auto" w:fill="FFFFFF"/>
          <w:lang w:val="en-US" w:eastAsia="zh-CN"/>
        </w:rPr>
        <w:t>报名参加本次</w:t>
      </w:r>
      <w:r>
        <w:rPr>
          <w:rFonts w:hint="eastAsia" w:ascii="仿宋_GB2312" w:hAnsi="仿宋_GB2312" w:eastAsia="仿宋_GB2312" w:cs="仿宋_GB2312"/>
          <w:b w:val="0"/>
          <w:bCs/>
          <w:sz w:val="32"/>
          <w:szCs w:val="32"/>
          <w:shd w:val="clear" w:color="auto" w:fill="FFFFFF"/>
        </w:rPr>
        <w:t>调研</w:t>
      </w:r>
      <w:r>
        <w:rPr>
          <w:rFonts w:hint="eastAsia" w:ascii="仿宋_GB2312" w:hAnsi="仿宋_GB2312" w:eastAsia="仿宋_GB2312" w:cs="仿宋_GB2312"/>
          <w:b w:val="0"/>
          <w:bCs/>
          <w:sz w:val="32"/>
          <w:szCs w:val="32"/>
          <w:shd w:val="clear" w:color="auto" w:fill="FFFFFF"/>
          <w:lang w:val="en-US" w:eastAsia="zh-CN"/>
        </w:rPr>
        <w:t>的供应商、厂家需</w:t>
      </w:r>
      <w:r>
        <w:rPr>
          <w:rFonts w:hint="eastAsia" w:ascii="仿宋_GB2312" w:hAnsi="仿宋_GB2312" w:eastAsia="仿宋_GB2312" w:cs="仿宋_GB2312"/>
          <w:b w:val="0"/>
          <w:bCs/>
          <w:sz w:val="32"/>
          <w:szCs w:val="32"/>
          <w:shd w:val="clear" w:color="auto" w:fill="FFFFFF"/>
        </w:rPr>
        <w:t>提供如下相关资料</w:t>
      </w:r>
      <w:r>
        <w:rPr>
          <w:rFonts w:hint="eastAsia" w:ascii="仿宋_GB2312" w:hAnsi="仿宋_GB2312" w:eastAsia="仿宋_GB2312" w:cs="仿宋_GB2312"/>
          <w:b w:val="0"/>
          <w:bCs/>
          <w:sz w:val="32"/>
          <w:szCs w:val="32"/>
          <w:shd w:val="clear" w:color="auto" w:fill="FFFFFF"/>
          <w:lang w:eastAsia="zh-CN"/>
        </w:rPr>
        <w:t>。</w:t>
      </w:r>
    </w:p>
    <w:p w14:paraId="0CD3CE2F">
      <w:pPr>
        <w:widowControl/>
        <w:numPr>
          <w:ilvl w:val="0"/>
          <w:numId w:val="3"/>
        </w:numPr>
        <w:wordWrap/>
        <w:snapToGrid/>
        <w:spacing w:before="0" w:after="0" w:line="360" w:lineRule="auto"/>
        <w:ind w:left="0" w:leftChars="0" w:right="0" w:firstLine="720" w:firstLineChars="200"/>
        <w:jc w:val="both"/>
        <w:outlineLvl w:val="9"/>
        <w:rPr>
          <w:rFonts w:hint="eastAsia" w:ascii="仿宋_GB2312" w:hAnsi="仿宋_GB2312" w:eastAsia="仿宋_GB2312" w:cs="仿宋_GB2312"/>
          <w:color w:val="000000"/>
          <w:kern w:val="0"/>
          <w:sz w:val="36"/>
          <w:szCs w:val="36"/>
          <w:highlight w:val="none"/>
          <w:lang w:eastAsia="zh-CN"/>
        </w:rPr>
      </w:pPr>
      <w:r>
        <w:rPr>
          <w:rFonts w:hint="eastAsia" w:ascii="仿宋_GB2312" w:hAnsi="仿宋_GB2312" w:eastAsia="仿宋_GB2312" w:cs="仿宋_GB2312"/>
          <w:color w:val="000000"/>
          <w:kern w:val="0"/>
          <w:sz w:val="36"/>
          <w:szCs w:val="36"/>
          <w:highlight w:val="none"/>
        </w:rPr>
        <w:t>报名</w:t>
      </w:r>
      <w:r>
        <w:rPr>
          <w:rFonts w:hint="eastAsia" w:ascii="仿宋_GB2312" w:hAnsi="仿宋_GB2312" w:eastAsia="仿宋_GB2312" w:cs="仿宋_GB2312"/>
          <w:color w:val="000000"/>
          <w:kern w:val="0"/>
          <w:sz w:val="36"/>
          <w:szCs w:val="36"/>
          <w:highlight w:val="none"/>
          <w:lang w:val="en-US" w:eastAsia="zh-CN"/>
        </w:rPr>
        <w:t>时</w:t>
      </w:r>
      <w:r>
        <w:rPr>
          <w:rFonts w:hint="eastAsia" w:ascii="仿宋_GB2312" w:hAnsi="仿宋_GB2312" w:eastAsia="仿宋_GB2312" w:cs="仿宋_GB2312"/>
          <w:color w:val="000000"/>
          <w:kern w:val="0"/>
          <w:sz w:val="36"/>
          <w:szCs w:val="36"/>
          <w:highlight w:val="none"/>
        </w:rPr>
        <w:t>请携带加盖公章的项目文件回执单、营业执照复印件、公司简介</w:t>
      </w:r>
      <w:r>
        <w:rPr>
          <w:rFonts w:hint="eastAsia" w:ascii="仿宋_GB2312" w:hAnsi="仿宋_GB2312" w:eastAsia="仿宋_GB2312" w:cs="仿宋_GB2312"/>
          <w:color w:val="000000"/>
          <w:kern w:val="0"/>
          <w:sz w:val="36"/>
          <w:szCs w:val="36"/>
          <w:highlight w:val="none"/>
          <w:lang w:eastAsia="zh-CN"/>
        </w:rPr>
        <w:t>（</w:t>
      </w:r>
      <w:r>
        <w:rPr>
          <w:rFonts w:hint="eastAsia" w:ascii="仿宋_GB2312" w:hAnsi="仿宋_GB2312" w:eastAsia="仿宋_GB2312" w:cs="仿宋_GB2312"/>
          <w:color w:val="000000"/>
          <w:kern w:val="0"/>
          <w:sz w:val="36"/>
          <w:szCs w:val="36"/>
          <w:highlight w:val="none"/>
          <w:lang w:val="en-US" w:eastAsia="zh-CN"/>
        </w:rPr>
        <w:t>可含</w:t>
      </w:r>
      <w:r>
        <w:rPr>
          <w:rFonts w:hint="eastAsia" w:ascii="仿宋_GB2312" w:hAnsi="仿宋_GB2312" w:eastAsia="仿宋_GB2312" w:cs="仿宋_GB2312"/>
          <w:b w:val="0"/>
          <w:bCs/>
          <w:sz w:val="36"/>
          <w:szCs w:val="36"/>
          <w:shd w:val="clear" w:color="auto" w:fill="FFFFFF"/>
        </w:rPr>
        <w:t>提供设备彩页等</w:t>
      </w:r>
      <w:r>
        <w:rPr>
          <w:rFonts w:hint="eastAsia" w:ascii="仿宋_GB2312" w:hAnsi="仿宋_GB2312" w:eastAsia="仿宋_GB2312" w:cs="仿宋_GB2312"/>
          <w:b w:val="0"/>
          <w:bCs/>
          <w:sz w:val="36"/>
          <w:szCs w:val="36"/>
          <w:shd w:val="clear" w:color="auto" w:fill="FFFFFF"/>
          <w:lang w:eastAsia="zh-CN"/>
        </w:rPr>
        <w:t>）</w:t>
      </w:r>
      <w:r>
        <w:rPr>
          <w:rFonts w:hint="eastAsia" w:ascii="仿宋_GB2312" w:hAnsi="仿宋_GB2312" w:eastAsia="仿宋_GB2312" w:cs="仿宋_GB2312"/>
          <w:color w:val="000000"/>
          <w:kern w:val="0"/>
          <w:sz w:val="36"/>
          <w:szCs w:val="36"/>
          <w:highlight w:val="none"/>
          <w:lang w:eastAsia="zh-CN"/>
        </w:rPr>
        <w:t>。</w:t>
      </w:r>
    </w:p>
    <w:p w14:paraId="1D78BD22">
      <w:pPr>
        <w:pStyle w:val="2"/>
        <w:numPr>
          <w:ilvl w:val="0"/>
          <w:numId w:val="0"/>
        </w:numPr>
        <w:wordWrap/>
        <w:spacing w:before="0" w:after="0" w:line="360" w:lineRule="auto"/>
        <w:ind w:left="0" w:leftChars="0" w:right="0"/>
        <w:rPr>
          <w:rFonts w:hint="eastAsia"/>
          <w:lang w:eastAsia="zh-CN"/>
        </w:rPr>
      </w:pPr>
    </w:p>
    <w:p w14:paraId="2D067F5E">
      <w:pPr>
        <w:widowControl/>
        <w:shd w:val="clear" w:color="auto" w:fill="FFFFFF"/>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14:paraId="7B1A3103">
      <w:pPr>
        <w:widowControl/>
        <w:shd w:val="clear" w:color="auto" w:fill="FFFFFF"/>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14:paraId="7E93014E">
      <w:pPr>
        <w:pStyle w:val="2"/>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rPr>
        <w:t>4、</w:t>
      </w:r>
      <w:r>
        <w:rPr>
          <w:rFonts w:hint="eastAsia" w:ascii="仿宋_GB2312" w:hAnsi="仿宋_GB2312" w:eastAsia="仿宋_GB2312" w:cs="仿宋_GB2312"/>
          <w:color w:val="000000"/>
          <w:spacing w:val="-8"/>
          <w:kern w:val="0"/>
          <w:sz w:val="32"/>
          <w:szCs w:val="32"/>
          <w:shd w:val="clear" w:color="auto" w:fill="FFFFFF"/>
          <w:lang w:val="en-US" w:eastAsia="zh-CN"/>
        </w:rPr>
        <w:t>提供业绩清单及近3年省内同类项目中标书</w:t>
      </w:r>
    </w:p>
    <w:p w14:paraId="7AFB7C2B">
      <w:pPr>
        <w:pStyle w:val="2"/>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5、本调研会的报价仅做为本项目公开招标的预算限价；不做参与投标的限制条件；</w:t>
      </w:r>
    </w:p>
    <w:p w14:paraId="2C1B9CA8">
      <w:pPr>
        <w:pStyle w:val="2"/>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6、上述各参数将做为本项目招标的主要参数，不代表本项目公开招标的最终参数；</w:t>
      </w:r>
    </w:p>
    <w:p w14:paraId="7BD1C954">
      <w:pPr>
        <w:pStyle w:val="2"/>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7、参加调研会的公司应准备PPT材料（含方案介绍、服务及集成能力、应用案例、报价等）、技术参数等材料，每公司讲解时间30分钟（含答疑10分钟）；同时上述材料须交予院方留档（发送邮件到wlb@fjzlhospital.com，并提供U盘留档）。</w:t>
      </w:r>
    </w:p>
    <w:p w14:paraId="581BB8DD">
      <w:pPr>
        <w:pStyle w:val="2"/>
        <w:wordWrap/>
        <w:spacing w:before="0" w:after="0" w:line="360" w:lineRule="auto"/>
        <w:ind w:left="0" w:leftChars="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5501B3C">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bCs w:val="0"/>
          <w:color w:val="000000"/>
          <w:sz w:val="32"/>
          <w:szCs w:val="32"/>
          <w:shd w:val="clear" w:color="auto" w:fill="FFFFFF"/>
        </w:rPr>
      </w:pPr>
    </w:p>
    <w:p w14:paraId="332C8DB7">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b/>
          <w:bCs w:val="0"/>
          <w:color w:val="000000"/>
          <w:sz w:val="32"/>
          <w:szCs w:val="32"/>
          <w:shd w:val="clear" w:color="auto" w:fill="FFFFFF"/>
        </w:rPr>
        <w:t>项目文件回执单</w:t>
      </w:r>
    </w:p>
    <w:p w14:paraId="180C059C">
      <w:pPr>
        <w:shd w:val="solid" w:color="FFFFFF" w:fill="auto"/>
        <w:wordWrap/>
        <w:autoSpaceDN w:val="0"/>
        <w:spacing w:before="0" w:after="0" w:line="360" w:lineRule="auto"/>
        <w:ind w:left="0" w:leftChars="0" w:right="0"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sz w:val="32"/>
          <w:szCs w:val="32"/>
          <w:shd w:val="clear" w:color="auto" w:fill="FFFFFF"/>
          <w:lang w:val="en-US" w:eastAsia="zh-CN"/>
        </w:rPr>
        <w:t>网络技术中心</w:t>
      </w:r>
      <w:r>
        <w:rPr>
          <w:rFonts w:hint="eastAsia" w:ascii="仿宋_GB2312" w:hAnsi="仿宋_GB2312" w:eastAsia="仿宋_GB2312" w:cs="仿宋_GB2312"/>
          <w:b w:val="0"/>
          <w:bCs/>
          <w:sz w:val="32"/>
          <w:szCs w:val="32"/>
          <w:shd w:val="clear" w:color="auto" w:fill="FFFFFF"/>
        </w:rPr>
        <w:t>报名。</w:t>
      </w:r>
    </w:p>
    <w:tbl>
      <w:tblPr>
        <w:tblStyle w:val="6"/>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750C30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3847A065">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81F4C65">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lang w:val="en-US" w:eastAsia="zh-CN"/>
              </w:rPr>
              <w:t>项目</w:t>
            </w:r>
            <w:r>
              <w:rPr>
                <w:rFonts w:hint="eastAsia" w:ascii="仿宋_GB2312" w:hAnsi="仿宋_GB2312" w:eastAsia="仿宋_GB2312" w:cs="仿宋_GB2312"/>
                <w:b w:val="0"/>
                <w:bCs/>
                <w:sz w:val="28"/>
                <w:szCs w:val="28"/>
                <w:shd w:val="clear" w:color="auto" w:fill="FFFFFF"/>
              </w:rPr>
              <w:t>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F39C366">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5A69FBF">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品牌及型号</w:t>
            </w:r>
          </w:p>
        </w:tc>
      </w:tr>
      <w:tr w14:paraId="33CD72C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D238CD7">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B760EF5">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3A3E8DD">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591997F">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p>
        </w:tc>
      </w:tr>
      <w:tr w14:paraId="742D20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1EE8BE00">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751DD16">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51D7AEC">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5F346AD">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p>
        </w:tc>
      </w:tr>
    </w:tbl>
    <w:p w14:paraId="42233AFF">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14:paraId="07245C8F">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14:paraId="2DE71732">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公司名称：</w:t>
      </w:r>
    </w:p>
    <w:p w14:paraId="6865778F">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 xml:space="preserve">联系人：　 </w:t>
      </w:r>
    </w:p>
    <w:p w14:paraId="625D2A9C">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联系电话：</w:t>
      </w:r>
    </w:p>
    <w:p w14:paraId="79FC7FCD">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公司盖章：</w:t>
      </w:r>
    </w:p>
    <w:p w14:paraId="78ACEE3E">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14:paraId="0D338296">
      <w:pPr>
        <w:pStyle w:val="2"/>
        <w:wordWrap/>
        <w:spacing w:before="0" w:after="0" w:line="360" w:lineRule="auto"/>
        <w:ind w:left="0" w:leftChars="0" w:right="0"/>
        <w:rPr>
          <w:rFonts w:hint="eastAsia" w:ascii="仿宋_GB2312" w:hAnsi="仿宋_GB2312" w:eastAsia="仿宋_GB2312" w:cs="仿宋_GB2312"/>
          <w:b w:val="0"/>
          <w:bCs/>
          <w:sz w:val="32"/>
          <w:szCs w:val="32"/>
          <w:shd w:val="clear" w:color="auto" w:fill="FFFFFF"/>
        </w:rPr>
      </w:pPr>
    </w:p>
    <w:p w14:paraId="43A2999F">
      <w:pPr>
        <w:pStyle w:val="2"/>
        <w:wordWrap/>
        <w:spacing w:before="0" w:after="0" w:line="360" w:lineRule="auto"/>
        <w:ind w:left="0" w:leftChars="0" w:right="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福建省肿瘤医院</w:t>
      </w:r>
    </w:p>
    <w:p w14:paraId="3D21C533">
      <w:pPr>
        <w:pStyle w:val="2"/>
        <w:wordWrap/>
        <w:spacing w:before="0" w:after="0" w:line="360" w:lineRule="auto"/>
        <w:ind w:left="0" w:leftChars="0" w:right="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年  月  日</w:t>
      </w:r>
    </w:p>
    <w:p w14:paraId="741EA6B8"/>
    <w:sectPr>
      <w:footerReference r:id="rId3" w:type="default"/>
      <w:pgSz w:w="12240" w:h="15840"/>
      <w:pgMar w:top="1417" w:right="1587" w:bottom="1417"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C2D4A">
    <w:pPr>
      <w:pStyle w:val="4"/>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14:paraId="1CF51C2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14:paraId="1CF51C2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F8FCB"/>
    <w:multiLevelType w:val="singleLevel"/>
    <w:tmpl w:val="942F8FCB"/>
    <w:lvl w:ilvl="0" w:tentative="0">
      <w:start w:val="1"/>
      <w:numFmt w:val="decimal"/>
      <w:suff w:val="nothing"/>
      <w:lvlText w:val="%1、"/>
      <w:lvlJc w:val="left"/>
    </w:lvl>
  </w:abstractNum>
  <w:abstractNum w:abstractNumId="1">
    <w:nsid w:val="53551602"/>
    <w:multiLevelType w:val="singleLevel"/>
    <w:tmpl w:val="53551602"/>
    <w:lvl w:ilvl="0" w:tentative="0">
      <w:start w:val="3"/>
      <w:numFmt w:val="chineseCounting"/>
      <w:suff w:val="nothing"/>
      <w:lvlText w:val="%1、"/>
      <w:lvlJc w:val="left"/>
      <w:rPr>
        <w:rFonts w:hint="eastAsia"/>
      </w:rPr>
    </w:lvl>
  </w:abstractNum>
  <w:abstractNum w:abstractNumId="2">
    <w:nsid w:val="67B4397F"/>
    <w:multiLevelType w:val="singleLevel"/>
    <w:tmpl w:val="67B4397F"/>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B55B3"/>
    <w:rsid w:val="0D954BE8"/>
    <w:rsid w:val="0E782A66"/>
    <w:rsid w:val="13C42198"/>
    <w:rsid w:val="14AE30D9"/>
    <w:rsid w:val="1E95634A"/>
    <w:rsid w:val="2D08798C"/>
    <w:rsid w:val="2DC15E45"/>
    <w:rsid w:val="2FD51B22"/>
    <w:rsid w:val="31C8341C"/>
    <w:rsid w:val="3A394FD8"/>
    <w:rsid w:val="483B0E27"/>
    <w:rsid w:val="493778DE"/>
    <w:rsid w:val="501954ED"/>
    <w:rsid w:val="54653A5E"/>
    <w:rsid w:val="5C0678E3"/>
    <w:rsid w:val="6ADFB210"/>
    <w:rsid w:val="75E50979"/>
    <w:rsid w:val="7D7F7A0B"/>
    <w:rsid w:val="CBFDA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line="336" w:lineRule="auto"/>
      <w:jc w:val="left"/>
    </w:pPr>
    <w:rPr>
      <w:rFonts w:ascii="宋体" w:hAnsi="宋体"/>
      <w:kern w:val="0"/>
      <w:sz w:val="24"/>
    </w:rPr>
  </w:style>
  <w:style w:type="table" w:styleId="7">
    <w:name w:val="Table Grid"/>
    <w:basedOn w:val="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3156</Words>
  <Characters>3361</Characters>
  <Lines>0</Lines>
  <Paragraphs>0</Paragraphs>
  <TotalTime>67</TotalTime>
  <ScaleCrop>false</ScaleCrop>
  <LinksUpToDate>false</LinksUpToDate>
  <CharactersWithSpaces>3497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2025-05-20T22:43:00Z</dcterms:created>
  <dc:creator>帅如狗</dc:creator>
  <cp:lastModifiedBy>网络办金</cp:lastModifiedBy>
  <cp:lastPrinted>2025-05-27T00:46:00Z</cp:lastPrinted>
  <dcterms:modified xsi:type="dcterms:W3CDTF">2025-06-04T03:39:30Z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eyJoZGlkIjoiMzcyYzQ4MzExOWIxM2ZmZWE3MDIzNjczNzVlZjFmOWYiLCJ1c2VySWQiOiIxNzAwODQwNTc2In0=</vt:lpwstr>
  </property>
  <property fmtid="{D5CDD505-2E9C-101B-9397-08002B2CF9AE}" pid="4" name="ICV">
    <vt:lpwstr>D9576BD3AD86479EB4208CB6A4D96746_13</vt:lpwstr>
  </property>
</Properties>
</file>