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spacing w:after="0" w:line="360" w:lineRule="auto"/>
        <w:jc w:val="center"/>
        <w:rPr>
          <w:rFonts w:hint="eastAsia"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福建省肿瘤医院采购调研公告</w:t>
      </w:r>
    </w:p>
    <w:p>
      <w:pPr>
        <w:widowControl/>
        <w:shd w:val="clear" w:color="auto" w:fill="FFFFFF"/>
        <w:adjustRightInd w:val="0"/>
        <w:snapToGrid w:val="0"/>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9"/>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项目名称： 科研楼机房蓄电池组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4</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21</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u w:val="single"/>
                <w:lang w:val="en-US" w:eastAsia="zh-CN"/>
              </w:rPr>
              <w:t>4</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28</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(节假日除外)8：00-12：00或14：00-17：00(北京时间）</w:t>
            </w:r>
          </w:p>
          <w:p>
            <w:pPr>
              <w:widowControl/>
              <w:spacing w:after="0" w:line="360" w:lineRule="auto"/>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5</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spacing w:after="0" w:line="360" w:lineRule="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after="0" w:line="360" w:lineRule="auto"/>
        <w:rPr>
          <w:rFonts w:hint="eastAsia" w:ascii="仿宋_GB2312" w:hAnsi="仿宋_GB2312" w:eastAsia="仿宋_GB2312" w:cs="仿宋_GB2312"/>
          <w:bCs/>
          <w:color w:val="000000"/>
          <w:kern w:val="0"/>
          <w:sz w:val="32"/>
          <w:szCs w:val="32"/>
          <w:shd w:val="clear" w:color="auto" w:fill="FFFFFF"/>
        </w:rPr>
      </w:pPr>
    </w:p>
    <w:p>
      <w:pPr>
        <w:widowControl/>
        <w:shd w:val="clear" w:color="auto" w:fill="FFFFFF"/>
        <w:spacing w:after="0"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after="0" w:line="360" w:lineRule="auto"/>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after="0"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after="0"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after="0"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钱工、</w:t>
      </w:r>
      <w:r>
        <w:rPr>
          <w:rFonts w:hint="eastAsia" w:ascii="仿宋_GB2312" w:hAnsi="仿宋_GB2312" w:eastAsia="仿宋_GB2312" w:cs="仿宋_GB2312"/>
          <w:bCs/>
          <w:color w:val="000000"/>
          <w:kern w:val="0"/>
          <w:sz w:val="32"/>
          <w:szCs w:val="32"/>
          <w:shd w:val="clear" w:color="auto" w:fill="FFFFFF"/>
        </w:rPr>
        <w:t xml:space="preserve"> 金工</w:t>
      </w:r>
    </w:p>
    <w:p>
      <w:pPr>
        <w:pStyle w:val="2"/>
        <w:spacing w:after="0"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spacing w:after="0" w:line="360" w:lineRule="auto"/>
        <w:ind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after="0"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7"/>
        <w:gridCol w:w="3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97" w:type="dxa"/>
            <w:vAlign w:val="center"/>
          </w:tcPr>
          <w:p>
            <w:pPr>
              <w:widowControl/>
              <w:spacing w:after="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178" w:type="dxa"/>
            <w:vAlign w:val="center"/>
          </w:tcPr>
          <w:p>
            <w:pPr>
              <w:widowControl/>
              <w:spacing w:after="0"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590" w:type="dxa"/>
            <w:vAlign w:val="center"/>
          </w:tcPr>
          <w:p>
            <w:pPr>
              <w:widowControl/>
              <w:spacing w:after="0"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center"/>
          </w:tcPr>
          <w:p>
            <w:pPr>
              <w:widowControl/>
              <w:spacing w:after="0"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exact"/>
        </w:trPr>
        <w:tc>
          <w:tcPr>
            <w:tcW w:w="2697" w:type="dxa"/>
            <w:vAlign w:val="center"/>
          </w:tcPr>
          <w:p>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3178" w:type="dxa"/>
            <w:vAlign w:val="center"/>
          </w:tcPr>
          <w:p>
            <w:pPr>
              <w:spacing w:after="0"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 蓄电池组</w:t>
            </w:r>
          </w:p>
        </w:tc>
        <w:tc>
          <w:tcPr>
            <w:tcW w:w="1590" w:type="dxa"/>
            <w:vAlign w:val="center"/>
          </w:tcPr>
          <w:p>
            <w:pPr>
              <w:autoSpaceDN w:val="0"/>
              <w:spacing w:after="0" w:line="360" w:lineRule="auto"/>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256节</w:t>
            </w:r>
          </w:p>
        </w:tc>
        <w:tc>
          <w:tcPr>
            <w:tcW w:w="1894" w:type="dxa"/>
            <w:vAlign w:val="center"/>
          </w:tcPr>
          <w:p>
            <w:pPr>
              <w:autoSpaceDN w:val="0"/>
              <w:spacing w:after="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40</w:t>
            </w:r>
          </w:p>
        </w:tc>
      </w:tr>
    </w:tbl>
    <w:p/>
    <w:p>
      <w:pPr>
        <w:keepNext/>
        <w:widowControl/>
        <w:shd w:val="clear" w:color="auto" w:fill="FFFFFF"/>
        <w:autoSpaceDE w:val="0"/>
        <w:spacing w:after="0"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2"/>
        <w:spacing w:after="0" w:line="360" w:lineRule="auto"/>
        <w:rPr>
          <w:rFonts w:hint="eastAsia" w:ascii="仿宋_GB2312" w:hAnsi="仿宋_GB2312" w:cs="仿宋_GB2312"/>
          <w:sz w:val="32"/>
          <w:szCs w:val="32"/>
        </w:rPr>
      </w:pPr>
      <w:r>
        <w:rPr>
          <w:rFonts w:hint="eastAsia" w:ascii="仿宋_GB2312" w:hAnsi="仿宋_GB2312" w:cs="仿宋_GB2312"/>
          <w:sz w:val="32"/>
          <w:szCs w:val="32"/>
        </w:rPr>
        <w:t>1、合同包（一）</w:t>
      </w:r>
    </w:p>
    <w:tbl>
      <w:tblPr>
        <w:tblW w:w="938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032"/>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87" w:type="dxa"/>
            <w:vAlign w:val="center"/>
          </w:tcPr>
          <w:p>
            <w:pPr>
              <w:spacing w:after="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32" w:type="dxa"/>
            <w:vAlign w:val="center"/>
          </w:tcPr>
          <w:p>
            <w:pPr>
              <w:spacing w:after="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6261" w:type="dxa"/>
            <w:vAlign w:val="center"/>
          </w:tcPr>
          <w:p>
            <w:pPr>
              <w:spacing w:after="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vAlign w:val="center"/>
          </w:tcPr>
          <w:p>
            <w:pPr>
              <w:spacing w:after="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032" w:type="dxa"/>
            <w:vAlign w:val="center"/>
          </w:tcPr>
          <w:p>
            <w:pPr>
              <w:spacing w:after="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蓄电池</w:t>
            </w:r>
          </w:p>
        </w:tc>
        <w:tc>
          <w:tcPr>
            <w:tcW w:w="6261" w:type="dxa"/>
            <w:vAlign w:val="center"/>
          </w:tcPr>
          <w:p>
            <w:pPr>
              <w:rPr>
                <w:sz w:val="24"/>
              </w:rPr>
            </w:pPr>
            <w:r>
              <w:rPr>
                <w:rFonts w:hint="eastAsia"/>
                <w:sz w:val="24"/>
              </w:rPr>
              <w:t>1.采用胶体蓄电池，容量为12V200Ah，设计寿命≥10年</w:t>
            </w:r>
            <w:r>
              <w:rPr>
                <w:rFonts w:hint="eastAsia"/>
                <w:sz w:val="24"/>
                <w:lang w:eastAsia="zh-CN"/>
              </w:rPr>
              <w:t>。</w:t>
            </w:r>
            <w:r>
              <w:rPr>
                <w:rFonts w:hint="eastAsia"/>
                <w:sz w:val="24"/>
              </w:rPr>
              <w:t>蓄电池在环境温度25℃浮充运行条件下，在85%放电深度情况下放电次数不小于600次。蓄电池在遇到明火情况下，不发生爆炸。</w:t>
            </w:r>
            <w:bookmarkStart w:id="0" w:name="_GoBack"/>
            <w:bookmarkEnd w:id="0"/>
          </w:p>
          <w:p>
            <w:pPr>
              <w:rPr>
                <w:rFonts w:hint="eastAsia"/>
                <w:sz w:val="24"/>
              </w:rPr>
            </w:pPr>
            <w:r>
              <w:rPr>
                <w:rFonts w:hint="eastAsia"/>
                <w:sz w:val="24"/>
              </w:rPr>
              <w:t>2.</w:t>
            </w:r>
            <w:r>
              <w:rPr>
                <w:rFonts w:ascii="宋体" w:hAnsi="宋体" w:eastAsia="宋体" w:cs="宋体"/>
                <w:sz w:val="24"/>
              </w:rPr>
              <w:t>蓄电池工作温度：-15～+55℃</w:t>
            </w:r>
            <w:r>
              <w:rPr>
                <w:rFonts w:hint="eastAsia"/>
                <w:sz w:val="24"/>
              </w:rPr>
              <w:t>。</w:t>
            </w:r>
          </w:p>
          <w:p>
            <w:pPr>
              <w:rPr>
                <w:rFonts w:hint="eastAsia"/>
                <w:sz w:val="24"/>
              </w:rPr>
            </w:pPr>
            <w:r>
              <w:rPr>
                <w:rFonts w:hint="eastAsia"/>
                <w:sz w:val="24"/>
              </w:rPr>
              <w:t>3.电池壳体</w:t>
            </w:r>
            <w:r>
              <w:rPr>
                <w:rFonts w:hint="eastAsia"/>
                <w:sz w:val="24"/>
              </w:rPr>
              <w:t>：采用阻燃耐腐、耐压、耐高温、耐水蒸气泄漏、耐震合成材料。蓄电池外观不得有变形、漏液、裂纹及污迹，标志要清晰。</w:t>
            </w:r>
          </w:p>
          <w:p>
            <w:pPr>
              <w:rPr>
                <w:rFonts w:hint="eastAsia"/>
                <w:sz w:val="24"/>
              </w:rPr>
            </w:pPr>
            <w:r>
              <w:rPr>
                <w:rFonts w:hint="eastAsia"/>
                <w:sz w:val="24"/>
                <w:lang w:val="en-US" w:eastAsia="zh-CN"/>
              </w:rPr>
              <w:t>4</w:t>
            </w:r>
            <w:r>
              <w:rPr>
                <w:rFonts w:hint="eastAsia"/>
                <w:sz w:val="24"/>
              </w:rPr>
              <w:t>..蓄电池极板与极性标志一致。正、负极端子便于用螺栓连接。</w:t>
            </w:r>
          </w:p>
          <w:p>
            <w:pPr>
              <w:rPr>
                <w:rFonts w:hint="eastAsia"/>
                <w:sz w:val="24"/>
              </w:rPr>
            </w:pPr>
            <w:r>
              <w:rPr>
                <w:rFonts w:hint="eastAsia"/>
                <w:sz w:val="24"/>
                <w:lang w:val="en-US" w:eastAsia="zh-CN"/>
              </w:rPr>
              <w:t>5</w:t>
            </w:r>
            <w:r>
              <w:rPr>
                <w:rFonts w:hint="eastAsia"/>
                <w:sz w:val="24"/>
              </w:rPr>
              <w:t>.蓄电池极性正确，正负极性及端子有明显标志，便于连接。极板厚度与使用寿命相适应。</w:t>
            </w:r>
          </w:p>
          <w:p>
            <w:pPr>
              <w:rPr>
                <w:rFonts w:hint="eastAsia"/>
                <w:sz w:val="24"/>
              </w:rPr>
            </w:pPr>
            <w:r>
              <w:rPr>
                <w:rFonts w:hint="eastAsia"/>
                <w:sz w:val="24"/>
                <w:lang w:val="en-US" w:eastAsia="zh-CN"/>
              </w:rPr>
              <w:t>6</w:t>
            </w:r>
            <w:r>
              <w:rPr>
                <w:rFonts w:hint="eastAsia"/>
                <w:sz w:val="24"/>
              </w:rPr>
              <w:t>.蓄电池</w:t>
            </w:r>
            <w:r>
              <w:rPr>
                <w:rFonts w:hint="eastAsia"/>
                <w:color w:val="auto"/>
                <w:sz w:val="24"/>
              </w:rPr>
              <w:t>使用期间安全阀自动开启闭合，闭阀压力在1kPa~10kPa范围内，开阀压</w:t>
            </w:r>
            <w:r>
              <w:rPr>
                <w:rFonts w:hint="eastAsia"/>
                <w:sz w:val="24"/>
              </w:rPr>
              <w:t>力在10kPa-49kPa范围内。</w:t>
            </w:r>
          </w:p>
          <w:p>
            <w:pPr>
              <w:rPr>
                <w:rFonts w:hint="eastAsia"/>
                <w:sz w:val="24"/>
              </w:rPr>
            </w:pPr>
            <w:r>
              <w:rPr>
                <w:rFonts w:hint="eastAsia"/>
                <w:sz w:val="24"/>
                <w:lang w:val="en-US" w:eastAsia="zh-CN"/>
              </w:rPr>
              <w:t>7</w:t>
            </w:r>
            <w:r>
              <w:rPr>
                <w:rFonts w:hint="eastAsia"/>
                <w:sz w:val="24"/>
              </w:rPr>
              <w:t>.蓄电池在大电流放电后，极柱不熔断，其外观不出现异常。</w:t>
            </w:r>
          </w:p>
          <w:p>
            <w:pPr>
              <w:rPr>
                <w:rFonts w:hint="eastAsia"/>
                <w:sz w:val="24"/>
              </w:rPr>
            </w:pPr>
            <w:r>
              <w:rPr>
                <w:rFonts w:hint="eastAsia"/>
                <w:sz w:val="24"/>
                <w:lang w:val="en-US" w:eastAsia="zh-CN"/>
              </w:rPr>
              <w:t>8</w:t>
            </w:r>
            <w:r>
              <w:rPr>
                <w:rFonts w:hint="eastAsia"/>
                <w:sz w:val="24"/>
              </w:rPr>
              <w:t>.蓄</w:t>
            </w:r>
            <w:r>
              <w:rPr>
                <w:rFonts w:hint="eastAsia"/>
                <w:color w:val="auto"/>
                <w:sz w:val="24"/>
              </w:rPr>
              <w:t>电池的密封反应效率不低于95</w:t>
            </w:r>
            <w:r>
              <w:rPr>
                <w:rFonts w:hint="eastAsia"/>
                <w:sz w:val="24"/>
              </w:rPr>
              <w:t>％。</w:t>
            </w:r>
          </w:p>
          <w:p>
            <w:pPr>
              <w:rPr>
                <w:rFonts w:hint="eastAsia"/>
                <w:sz w:val="24"/>
              </w:rPr>
            </w:pPr>
            <w:r>
              <w:rPr>
                <w:rFonts w:hint="eastAsia"/>
                <w:sz w:val="24"/>
                <w:lang w:val="en-US" w:eastAsia="zh-CN"/>
              </w:rPr>
              <w:t>9</w:t>
            </w:r>
            <w:r>
              <w:rPr>
                <w:rFonts w:hint="eastAsia"/>
                <w:sz w:val="24"/>
              </w:rPr>
              <w:t>.蓄电池具有很</w:t>
            </w:r>
            <w:r>
              <w:rPr>
                <w:rFonts w:hint="eastAsia"/>
                <w:color w:val="auto"/>
                <w:sz w:val="24"/>
              </w:rPr>
              <w:t>强的耐过充能力和过充寿命。以0.3I10电流连续充电16h后，外观无</w:t>
            </w:r>
            <w:r>
              <w:rPr>
                <w:rFonts w:hint="eastAsia"/>
                <w:sz w:val="24"/>
              </w:rPr>
              <w:t>明显变形及渗液。</w:t>
            </w:r>
          </w:p>
          <w:p>
            <w:pPr>
              <w:rPr>
                <w:rFonts w:hint="eastAsia"/>
                <w:sz w:val="24"/>
              </w:rPr>
            </w:pPr>
            <w:r>
              <w:rPr>
                <w:rFonts w:hint="eastAsia"/>
                <w:sz w:val="24"/>
              </w:rPr>
              <w:t>1</w:t>
            </w:r>
            <w:r>
              <w:rPr>
                <w:rFonts w:hint="eastAsia"/>
                <w:sz w:val="24"/>
                <w:lang w:val="en-US" w:eastAsia="zh-CN"/>
              </w:rPr>
              <w:t>0</w:t>
            </w:r>
            <w:r>
              <w:rPr>
                <w:rFonts w:hint="eastAsia"/>
                <w:sz w:val="24"/>
              </w:rPr>
              <w:t>.蓄电池在-30℃和65℃时封口剂无裂纹及溢流。</w:t>
            </w:r>
          </w:p>
          <w:p>
            <w:pPr>
              <w:rPr>
                <w:rFonts w:hint="eastAsia"/>
                <w:sz w:val="24"/>
              </w:rPr>
            </w:pPr>
            <w:r>
              <w:rPr>
                <w:rFonts w:hint="eastAsia"/>
                <w:sz w:val="24"/>
                <w:lang w:val="en-US" w:eastAsia="zh-CN"/>
              </w:rPr>
              <w:t>11.</w:t>
            </w:r>
            <w:r>
              <w:rPr>
                <w:rFonts w:hint="eastAsia"/>
                <w:sz w:val="24"/>
              </w:rPr>
              <w:t>蓄电池间接线板、终端接头选用导电性能优良的材料、并具有防腐蚀措施。</w:t>
            </w:r>
          </w:p>
          <w:p>
            <w:pPr>
              <w:rPr>
                <w:rFonts w:hint="eastAsia"/>
                <w:sz w:val="24"/>
              </w:rPr>
            </w:pPr>
            <w:r>
              <w:rPr>
                <w:rFonts w:hint="eastAsia"/>
                <w:sz w:val="24"/>
                <w:lang w:val="en-US" w:eastAsia="zh-CN"/>
              </w:rPr>
              <w:t>1</w:t>
            </w:r>
            <w:r>
              <w:rPr>
                <w:rFonts w:hint="eastAsia"/>
                <w:sz w:val="24"/>
              </w:rPr>
              <w:t>2.提供8套32节电池一组的支架式电池箱、内部配有电池的连接线</w:t>
            </w:r>
            <w:r>
              <w:rPr>
                <w:rFonts w:hint="eastAsia"/>
                <w:sz w:val="24"/>
                <w:lang w:val="en-US" w:eastAsia="zh-CN"/>
              </w:rPr>
              <w:t>以及空开</w:t>
            </w:r>
            <w:r>
              <w:rPr>
                <w:rFonts w:hint="eastAsia"/>
                <w:sz w:val="24"/>
              </w:rPr>
              <w:t>。</w:t>
            </w:r>
          </w:p>
          <w:p>
            <w:pPr>
              <w:rPr>
                <w:rFonts w:hint="eastAsia"/>
                <w:sz w:val="24"/>
              </w:rPr>
            </w:pPr>
            <w:r>
              <w:rPr>
                <w:rFonts w:hint="eastAsia"/>
                <w:sz w:val="24"/>
                <w:lang w:val="en-US" w:eastAsia="zh-CN"/>
              </w:rPr>
              <w:t>1</w:t>
            </w:r>
            <w:r>
              <w:rPr>
                <w:rFonts w:hint="eastAsia"/>
                <w:sz w:val="24"/>
              </w:rPr>
              <w:t>3.胶体蓄电池节数不少于256节，重量不得低于65公斤，电池内不得参杂有玻璃，沙子等物质影响电池质量和放电时间。</w:t>
            </w:r>
          </w:p>
          <w:p>
            <w:pPr>
              <w:rPr>
                <w:rFonts w:hint="eastAsia"/>
                <w:sz w:val="24"/>
              </w:rPr>
            </w:pPr>
            <w:r>
              <w:rPr>
                <w:rFonts w:hint="eastAsia"/>
                <w:sz w:val="24"/>
                <w:lang w:val="en-US" w:eastAsia="zh-CN"/>
              </w:rPr>
              <w:t>14</w:t>
            </w:r>
            <w:r>
              <w:rPr>
                <w:rFonts w:hint="eastAsia"/>
                <w:sz w:val="24"/>
              </w:rPr>
              <w:t>.</w:t>
            </w:r>
            <w:r>
              <w:rPr>
                <w:rFonts w:ascii="宋体" w:hAnsi="宋体" w:eastAsia="宋体" w:cs="宋体"/>
                <w:color w:val="auto"/>
                <w:sz w:val="24"/>
              </w:rPr>
              <w:t>蓄电池需与UPS主机兼容配套，确保设备正常运行</w:t>
            </w:r>
          </w:p>
        </w:tc>
      </w:tr>
    </w:tbl>
    <w:p>
      <w:pPr>
        <w:numPr>
          <w:numId w:val="0"/>
        </w:numPr>
        <w:spacing w:after="0" w:line="360" w:lineRule="auto"/>
        <w:rPr>
          <w:rFonts w:hint="eastAsia" w:ascii="仿宋_GB2312" w:hAnsi="仿宋_GB2312" w:eastAsia="仿宋_GB2312" w:cs="仿宋_GB2312"/>
          <w:b/>
          <w:bCs/>
          <w:sz w:val="32"/>
          <w:szCs w:val="32"/>
        </w:rPr>
      </w:pPr>
    </w:p>
    <w:p>
      <w:pPr>
        <w:numPr>
          <w:ilvl w:val="0"/>
          <w:numId w:val="1"/>
        </w:numPr>
        <w:spacing w:after="0"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5"/>
        <w:numPr>
          <w:ilvl w:val="0"/>
          <w:numId w:val="2"/>
        </w:numPr>
        <w:spacing w:before="0" w:beforeAutospacing="0" w:after="0" w:afterAutospacing="0" w:line="480" w:lineRule="atLeast"/>
        <w:ind w:firstLine="640" w:firstLineChars="200"/>
        <w:jc w:val="both"/>
        <w:rPr>
          <w:rStyle w:val="18"/>
          <w:rFonts w:hint="eastAsia" w:ascii="仿宋_GB2312" w:eastAsia="仿宋_GB2312"/>
          <w:sz w:val="32"/>
          <w:szCs w:val="32"/>
        </w:rPr>
      </w:pPr>
      <w:r>
        <w:rPr>
          <w:rStyle w:val="18"/>
          <w:rFonts w:hint="eastAsia" w:ascii="仿宋_GB2312" w:eastAsia="仿宋_GB2312"/>
          <w:sz w:val="32"/>
          <w:szCs w:val="32"/>
        </w:rPr>
        <w:t>本项目为交钥匙工程，所有硬件设备的相关线缆</w:t>
      </w:r>
      <w:r>
        <w:rPr>
          <w:rStyle w:val="18"/>
          <w:rFonts w:hint="eastAsia" w:ascii="仿宋_GB2312" w:eastAsia="仿宋_GB2312"/>
          <w:sz w:val="32"/>
          <w:szCs w:val="32"/>
          <w:lang w:val="en-US" w:eastAsia="zh-CN"/>
        </w:rPr>
        <w:t>等配件</w:t>
      </w:r>
      <w:r>
        <w:rPr>
          <w:rStyle w:val="18"/>
          <w:rFonts w:hint="eastAsia" w:ascii="仿宋_GB2312" w:eastAsia="仿宋_GB2312"/>
          <w:sz w:val="32"/>
          <w:szCs w:val="32"/>
        </w:rPr>
        <w:t>在招标文件中均未明确列出，</w:t>
      </w:r>
      <w:r>
        <w:rPr>
          <w:rStyle w:val="18"/>
          <w:rFonts w:hint="eastAsia" w:ascii="仿宋_GB2312" w:eastAsia="仿宋_GB2312"/>
          <w:sz w:val="32"/>
          <w:szCs w:val="32"/>
          <w:lang w:val="en-US" w:eastAsia="zh-CN"/>
        </w:rPr>
        <w:t>投标方</w:t>
      </w:r>
      <w:r>
        <w:rPr>
          <w:rStyle w:val="18"/>
          <w:rFonts w:hint="eastAsia" w:ascii="仿宋_GB2312" w:eastAsia="仿宋_GB2312"/>
          <w:sz w:val="32"/>
          <w:szCs w:val="32"/>
        </w:rPr>
        <w:t>必须根据设备实际需要配置相应类型及数量的线缆（诸如电源线、</w:t>
      </w:r>
      <w:r>
        <w:rPr>
          <w:rStyle w:val="18"/>
          <w:rFonts w:hint="eastAsia" w:ascii="仿宋_GB2312" w:eastAsia="仿宋_GB2312"/>
          <w:sz w:val="32"/>
          <w:szCs w:val="32"/>
          <w:lang w:val="en-US" w:eastAsia="zh-CN"/>
        </w:rPr>
        <w:t>电缆</w:t>
      </w:r>
      <w:r>
        <w:rPr>
          <w:rStyle w:val="18"/>
          <w:rFonts w:hint="eastAsia" w:ascii="仿宋_GB2312" w:eastAsia="仿宋_GB2312"/>
          <w:sz w:val="32"/>
          <w:szCs w:val="32"/>
        </w:rPr>
        <w:t>连接线等）。</w:t>
      </w:r>
    </w:p>
    <w:p>
      <w:pPr>
        <w:pStyle w:val="15"/>
        <w:numPr>
          <w:ilvl w:val="0"/>
          <w:numId w:val="2"/>
        </w:numPr>
        <w:spacing w:before="0" w:beforeAutospacing="0" w:after="0" w:afterAutospacing="0" w:line="480" w:lineRule="atLeast"/>
        <w:ind w:firstLine="640" w:firstLineChars="200"/>
        <w:jc w:val="both"/>
        <w:rPr>
          <w:rStyle w:val="18"/>
          <w:rFonts w:ascii="仿宋_GB2312" w:hAnsi="Calibri" w:eastAsia="仿宋_GB2312" w:cs="黑体"/>
          <w:kern w:val="2"/>
          <w:sz w:val="32"/>
          <w:szCs w:val="32"/>
        </w:rPr>
      </w:pPr>
      <w:r>
        <w:rPr>
          <w:rStyle w:val="18"/>
          <w:rFonts w:hint="eastAsia" w:ascii="仿宋_GB2312" w:eastAsia="仿宋_GB2312"/>
          <w:sz w:val="32"/>
          <w:szCs w:val="32"/>
        </w:rPr>
        <w:t>本项目报价需包含</w:t>
      </w:r>
      <w:r>
        <w:rPr>
          <w:rStyle w:val="18"/>
          <w:rFonts w:ascii="仿宋_GB2312" w:eastAsia="仿宋_GB2312"/>
          <w:sz w:val="32"/>
          <w:szCs w:val="32"/>
        </w:rPr>
        <w:t>设备</w:t>
      </w:r>
      <w:r>
        <w:rPr>
          <w:rStyle w:val="18"/>
          <w:rFonts w:hint="eastAsia" w:ascii="仿宋_GB2312" w:eastAsia="仿宋_GB2312"/>
          <w:sz w:val="32"/>
          <w:szCs w:val="32"/>
        </w:rPr>
        <w:t>运输、</w:t>
      </w:r>
      <w:r>
        <w:rPr>
          <w:rStyle w:val="18"/>
          <w:rFonts w:ascii="仿宋_GB2312" w:eastAsia="仿宋_GB2312"/>
          <w:sz w:val="32"/>
          <w:szCs w:val="32"/>
        </w:rPr>
        <w:t>安装及调试</w:t>
      </w:r>
      <w:r>
        <w:rPr>
          <w:rStyle w:val="18"/>
          <w:rFonts w:hint="eastAsia" w:ascii="仿宋_GB2312" w:eastAsia="仿宋_GB2312"/>
          <w:sz w:val="32"/>
          <w:szCs w:val="32"/>
        </w:rPr>
        <w:t>等上门服务</w:t>
      </w:r>
      <w:r>
        <w:rPr>
          <w:rStyle w:val="18"/>
          <w:rFonts w:ascii="仿宋_GB2312" w:eastAsia="仿宋_GB2312"/>
          <w:sz w:val="32"/>
          <w:szCs w:val="32"/>
        </w:rPr>
        <w:t>。提供完整的技术资料（包括产品说明书、用户手册、出厂明细表或装箱单、制造厂质量合格证书及其他相关文件资料）。提供安装和维修所需特殊专用的工具、备件及清单和中文说明书，其费用包括在</w:t>
      </w:r>
      <w:r>
        <w:rPr>
          <w:rStyle w:val="18"/>
          <w:rFonts w:hint="eastAsia" w:ascii="仿宋_GB2312" w:eastAsia="仿宋_GB2312"/>
          <w:sz w:val="32"/>
          <w:szCs w:val="32"/>
        </w:rPr>
        <w:t>所报</w:t>
      </w:r>
      <w:r>
        <w:rPr>
          <w:rStyle w:val="18"/>
          <w:rFonts w:ascii="仿宋_GB2312" w:eastAsia="仿宋_GB2312"/>
          <w:sz w:val="32"/>
          <w:szCs w:val="32"/>
        </w:rPr>
        <w:t>价格内。</w:t>
      </w:r>
    </w:p>
    <w:p>
      <w:pPr>
        <w:pStyle w:val="15"/>
        <w:numPr>
          <w:ilvl w:val="0"/>
          <w:numId w:val="2"/>
        </w:numPr>
        <w:spacing w:before="0" w:beforeAutospacing="0" w:after="0" w:afterAutospacing="0" w:line="480" w:lineRule="atLeast"/>
        <w:ind w:firstLine="640" w:firstLineChars="200"/>
        <w:jc w:val="both"/>
        <w:rPr>
          <w:rStyle w:val="18"/>
          <w:rFonts w:hint="eastAsia" w:ascii="仿宋_GB2312" w:eastAsia="仿宋_GB2312"/>
          <w:sz w:val="32"/>
          <w:szCs w:val="32"/>
        </w:rPr>
      </w:pPr>
      <w:r>
        <w:rPr>
          <w:rStyle w:val="18"/>
          <w:rFonts w:hint="eastAsia" w:ascii="仿宋_GB2312" w:eastAsia="仿宋_GB2312"/>
          <w:sz w:val="32"/>
          <w:szCs w:val="32"/>
        </w:rPr>
        <w:t>本项目U</w:t>
      </w:r>
      <w:r>
        <w:rPr>
          <w:rStyle w:val="18"/>
          <w:rFonts w:ascii="仿宋_GB2312" w:eastAsia="仿宋_GB2312"/>
          <w:sz w:val="32"/>
          <w:szCs w:val="32"/>
        </w:rPr>
        <w:t>PS电</w:t>
      </w:r>
      <w:r>
        <w:rPr>
          <w:rStyle w:val="18"/>
          <w:rFonts w:hint="eastAsia" w:ascii="仿宋_GB2312" w:eastAsia="仿宋_GB2312"/>
          <w:sz w:val="32"/>
          <w:szCs w:val="32"/>
        </w:rPr>
        <w:t>池应</w:t>
      </w:r>
      <w:r>
        <w:rPr>
          <w:rFonts w:hint="eastAsia" w:ascii="仿宋_GB2312" w:eastAsia="仿宋_GB2312"/>
          <w:sz w:val="32"/>
          <w:szCs w:val="32"/>
        </w:rPr>
        <w:t>具备</w:t>
      </w:r>
      <w:r>
        <w:rPr>
          <w:rFonts w:ascii="仿宋_GB2312" w:eastAsia="仿宋_GB2312"/>
          <w:sz w:val="32"/>
          <w:szCs w:val="32"/>
        </w:rPr>
        <w:t>兼容</w:t>
      </w:r>
      <w:r>
        <w:rPr>
          <w:rFonts w:hint="eastAsia" w:ascii="仿宋_GB2312" w:eastAsia="仿宋_GB2312"/>
          <w:sz w:val="32"/>
          <w:szCs w:val="32"/>
        </w:rPr>
        <w:t>性；符合</w:t>
      </w:r>
      <w:r>
        <w:rPr>
          <w:rStyle w:val="18"/>
          <w:rFonts w:ascii="仿宋_GB2312" w:hAnsi="Calibri" w:eastAsia="仿宋_GB2312" w:cs="黑体"/>
          <w:kern w:val="2"/>
          <w:sz w:val="32"/>
          <w:szCs w:val="32"/>
        </w:rPr>
        <w:t>国家标准</w:t>
      </w:r>
      <w:r>
        <w:rPr>
          <w:rStyle w:val="18"/>
          <w:rFonts w:hint="eastAsia" w:ascii="仿宋_GB2312" w:hAnsi="Calibri" w:eastAsia="仿宋_GB2312" w:cs="黑体"/>
          <w:kern w:val="2"/>
          <w:sz w:val="32"/>
          <w:szCs w:val="32"/>
        </w:rPr>
        <w:t>及业行标准</w:t>
      </w:r>
      <w:r>
        <w:rPr>
          <w:rStyle w:val="18"/>
          <w:rFonts w:ascii="仿宋_GB2312" w:hAnsi="Calibri" w:eastAsia="仿宋_GB2312" w:cs="黑体"/>
          <w:kern w:val="2"/>
          <w:sz w:val="32"/>
          <w:szCs w:val="32"/>
        </w:rPr>
        <w:t>：GB/T 7260.1-2023《不间断电源系统（UPS） 第1部分：安全要求》。GB/T 14715-2017《信息技术设备用不间断电源通用技术条件》。YD/T 1095-2018《通信用交流不间断电源（UPS</w:t>
      </w:r>
      <w:r>
        <w:rPr>
          <w:rStyle w:val="18"/>
          <w:rFonts w:hint="eastAsia" w:ascii="仿宋_GB2312" w:hAnsi="Calibri" w:eastAsia="仿宋_GB2312" w:cs="黑体"/>
          <w:kern w:val="2"/>
          <w:sz w:val="32"/>
          <w:szCs w:val="32"/>
        </w:rPr>
        <w:t>）等，</w:t>
      </w:r>
      <w:r>
        <w:rPr>
          <w:rStyle w:val="18"/>
          <w:rFonts w:ascii="仿宋_GB2312" w:hAnsi="Calibri" w:eastAsia="仿宋_GB2312" w:cs="黑体"/>
          <w:kern w:val="2"/>
          <w:sz w:val="32"/>
          <w:szCs w:val="32"/>
        </w:rPr>
        <w:t>保障其在实际应用中的可靠性和安全性。</w:t>
      </w:r>
    </w:p>
    <w:p>
      <w:pPr>
        <w:pStyle w:val="15"/>
        <w:numPr>
          <w:ilvl w:val="0"/>
          <w:numId w:val="2"/>
        </w:numPr>
        <w:spacing w:before="0" w:beforeAutospacing="0" w:after="0" w:afterAutospacing="0" w:line="480" w:lineRule="atLeast"/>
        <w:ind w:firstLine="640" w:firstLineChars="200"/>
        <w:jc w:val="both"/>
        <w:rPr>
          <w:rStyle w:val="18"/>
          <w:rFonts w:hint="eastAsia" w:ascii="仿宋_GB2312" w:eastAsia="仿宋_GB2312"/>
          <w:sz w:val="32"/>
          <w:szCs w:val="32"/>
        </w:rPr>
      </w:pPr>
      <w:r>
        <w:rPr>
          <w:rStyle w:val="18"/>
          <w:rFonts w:hint="eastAsia" w:ascii="仿宋_GB2312" w:eastAsia="仿宋_GB2312"/>
          <w:sz w:val="32"/>
          <w:szCs w:val="32"/>
        </w:rPr>
        <w:t>本项目</w:t>
      </w:r>
      <w:r>
        <w:rPr>
          <w:rStyle w:val="18"/>
          <w:rFonts w:ascii="仿宋_GB2312" w:eastAsia="仿宋_GB2312"/>
          <w:sz w:val="32"/>
          <w:szCs w:val="32"/>
        </w:rPr>
        <w:t>售后服务要求</w:t>
      </w:r>
      <w:r>
        <w:rPr>
          <w:rStyle w:val="18"/>
          <w:rFonts w:hint="eastAsia" w:ascii="仿宋_GB2312" w:eastAsia="仿宋_GB2312"/>
          <w:sz w:val="32"/>
          <w:szCs w:val="32"/>
        </w:rPr>
        <w:t>，</w:t>
      </w:r>
      <w:r>
        <w:rPr>
          <w:rStyle w:val="18"/>
          <w:rFonts w:ascii="仿宋_GB2312" w:eastAsia="仿宋_GB2312"/>
          <w:sz w:val="32"/>
          <w:szCs w:val="32"/>
        </w:rPr>
        <w:t>所</w:t>
      </w:r>
      <w:r>
        <w:rPr>
          <w:rStyle w:val="18"/>
          <w:rFonts w:hint="eastAsia" w:ascii="仿宋_GB2312" w:eastAsia="仿宋_GB2312"/>
          <w:sz w:val="32"/>
          <w:szCs w:val="32"/>
        </w:rPr>
        <w:t>有</w:t>
      </w:r>
      <w:r>
        <w:rPr>
          <w:rStyle w:val="18"/>
          <w:rFonts w:ascii="仿宋_GB2312" w:eastAsia="仿宋_GB2312"/>
          <w:sz w:val="32"/>
          <w:szCs w:val="32"/>
        </w:rPr>
        <w:t>设备必须提供三年保修，设备必须7×24小时免费上门维护，</w:t>
      </w:r>
      <w:r>
        <w:rPr>
          <w:rStyle w:val="18"/>
          <w:rFonts w:hint="eastAsia" w:ascii="仿宋_GB2312" w:eastAsia="仿宋_GB2312"/>
          <w:sz w:val="32"/>
          <w:szCs w:val="32"/>
        </w:rPr>
        <w:t>如有</w:t>
      </w:r>
      <w:r>
        <w:rPr>
          <w:rStyle w:val="18"/>
          <w:rFonts w:ascii="仿宋_GB2312" w:eastAsia="仿宋_GB2312"/>
          <w:sz w:val="32"/>
          <w:szCs w:val="32"/>
        </w:rPr>
        <w:t>故障电话后2小时内须指派专业技术人员到达现场解决故障</w:t>
      </w:r>
      <w:r>
        <w:rPr>
          <w:rStyle w:val="18"/>
          <w:rFonts w:hint="eastAsia" w:ascii="仿宋_GB2312" w:eastAsia="仿宋_GB2312"/>
          <w:sz w:val="32"/>
          <w:szCs w:val="32"/>
        </w:rPr>
        <w:t>。</w:t>
      </w:r>
    </w:p>
    <w:p>
      <w:pPr>
        <w:pStyle w:val="2"/>
        <w:numPr>
          <w:ilvl w:val="0"/>
          <w:numId w:val="1"/>
        </w:numPr>
        <w:spacing w:after="0" w:line="360" w:lineRule="auto"/>
        <w:rPr>
          <w:rFonts w:hint="eastAsia"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after="0"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numPr>
          <w:ilvl w:val="0"/>
          <w:numId w:val="3"/>
        </w:numPr>
        <w:spacing w:after="0" w:line="360" w:lineRule="auto"/>
        <w:ind w:firstLine="720" w:firstLineChars="200"/>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报名请携带加盖公章的项目文件回执单、营业执照复印件、公司简介。</w:t>
      </w:r>
    </w:p>
    <w:p>
      <w:pPr>
        <w:pStyle w:val="2"/>
        <w:spacing w:after="0" w:line="360" w:lineRule="auto"/>
      </w:pPr>
    </w:p>
    <w:p>
      <w:pPr>
        <w:widowControl/>
        <w:shd w:val="clear" w:color="auto" w:fill="FFFFFF"/>
        <w:spacing w:after="0"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after="0"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spacing w:after="0" w:line="360" w:lineRule="auto"/>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w:t>
      </w:r>
    </w:p>
    <w:p>
      <w:pPr>
        <w:pStyle w:val="2"/>
        <w:spacing w:after="0"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2"/>
        <w:spacing w:after="0"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2"/>
        <w:spacing w:after="0"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2"/>
        <w:spacing w:after="0"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after="0" w:line="360" w:lineRule="auto"/>
        <w:jc w:val="center"/>
        <w:rPr>
          <w:rFonts w:hint="eastAsia" w:ascii="仿宋_GB2312" w:hAnsi="仿宋_GB2312" w:eastAsia="仿宋_GB2312" w:cs="仿宋_GB2312"/>
          <w:b/>
          <w:color w:val="000000"/>
          <w:sz w:val="32"/>
          <w:szCs w:val="32"/>
          <w:shd w:val="clear" w:color="auto" w:fill="FFFFFF"/>
        </w:rPr>
      </w:pPr>
    </w:p>
    <w:p>
      <w:pPr>
        <w:shd w:val="solid" w:color="FFFFFF" w:fill="auto"/>
        <w:autoSpaceDN w:val="0"/>
        <w:spacing w:after="0" w:line="360" w:lineRule="auto"/>
        <w:jc w:val="center"/>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after="0"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p>
        </w:tc>
      </w:tr>
    </w:tbl>
    <w:p>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p>
    <w:p>
      <w:pPr>
        <w:pStyle w:val="2"/>
        <w:spacing w:after="0" w:line="360" w:lineRule="auto"/>
        <w:rPr>
          <w:rFonts w:hint="eastAsia" w:ascii="仿宋_GB2312" w:hAnsi="仿宋_GB2312" w:cs="仿宋_GB2312"/>
          <w:bCs/>
          <w:sz w:val="32"/>
          <w:szCs w:val="32"/>
          <w:shd w:val="clear" w:color="auto" w:fill="FFFFFF"/>
        </w:rPr>
      </w:pPr>
    </w:p>
    <w:p>
      <w:pPr>
        <w:pStyle w:val="2"/>
        <w:spacing w:after="0" w:line="360" w:lineRule="auto"/>
        <w:rPr>
          <w:rFonts w:hint="eastAsia" w:ascii="仿宋_GB2312" w:hAnsi="仿宋_GB2312" w:cs="仿宋_GB2312"/>
          <w:sz w:val="32"/>
          <w:szCs w:val="32"/>
        </w:rPr>
      </w:pPr>
      <w:r>
        <w:rPr>
          <w:rFonts w:hint="eastAsia" w:ascii="仿宋_GB2312" w:hAnsi="仿宋_GB2312" w:cs="仿宋_GB2312"/>
          <w:sz w:val="32"/>
          <w:szCs w:val="32"/>
        </w:rPr>
        <w:t xml:space="preserve">                                        福建省肿瘤医院</w:t>
      </w:r>
    </w:p>
    <w:p>
      <w:pPr>
        <w:pStyle w:val="2"/>
        <w:spacing w:after="0" w:line="360" w:lineRule="auto"/>
        <w:rPr>
          <w:rFonts w:hint="eastAsia" w:ascii="仿宋_GB2312" w:hAnsi="仿宋_GB2312" w:cs="仿宋_GB2312"/>
          <w:sz w:val="32"/>
          <w:szCs w:val="32"/>
        </w:rPr>
      </w:pPr>
      <w:r>
        <w:rPr>
          <w:rFonts w:hint="eastAsia" w:ascii="仿宋_GB2312" w:hAnsi="仿宋_GB2312" w:cs="仿宋_GB2312"/>
          <w:sz w:val="32"/>
          <w:szCs w:val="32"/>
        </w:rPr>
        <w:t xml:space="preserve">                                           年  月  日</w:t>
      </w:r>
    </w:p>
    <w:sectPr>
      <w:footerReference r:id="rId4"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quot;times new roman&quot;">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18"/>
        <w:lang w:val="en-US" w:eastAsia="zh-CN" w:bidi="ar-SA"/>
      </w:rPr>
      <w:pict>
        <v:rect id="Quad Arrow 1025" o:spid="_x0000_s1025" style="position:absolute;left:0;margin-top:0pt;height:22.85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739864447">
    <w:nsid w:val="67B4397F"/>
    <w:multiLevelType w:val="singleLevel"/>
    <w:tmpl w:val="67B4397F"/>
    <w:lvl w:ilvl="0" w:tentative="1">
      <w:start w:val="1"/>
      <w:numFmt w:val="decimal"/>
      <w:suff w:val="nothing"/>
      <w:lvlText w:val="%1、"/>
      <w:lvlJc w:val="left"/>
    </w:lvl>
  </w:abstractNum>
  <w:abstractNum w:abstractNumId="1745215652">
    <w:nsid w:val="6805E0A4"/>
    <w:multiLevelType w:val="singleLevel"/>
    <w:tmpl w:val="6805E0A4"/>
    <w:lvl w:ilvl="0" w:tentative="1">
      <w:start w:val="1"/>
      <w:numFmt w:val="decimal"/>
      <w:suff w:val="nothing"/>
      <w:lvlText w:val="%1、"/>
      <w:lvlJc w:val="left"/>
    </w:lvl>
  </w:abstractNum>
  <w:num w:numId="1">
    <w:abstractNumId w:val="1398085122"/>
  </w:num>
  <w:num w:numId="2">
    <w:abstractNumId w:val="1745215652"/>
  </w:num>
  <w:num w:numId="3">
    <w:abstractNumId w:val="1739864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spacing w:after="160" w:line="278" w:lineRule="auto"/>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0">
    <w:name w:val="Default Paragraph Font"/>
    <w:unhideWhenUsed/>
    <w:uiPriority w:val="1"/>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Body Text"/>
    <w:basedOn w:val="1"/>
    <w:next w:val="6"/>
    <w:unhideWhenUsed/>
    <w:qFormat/>
    <w:uiPriority w:val="99"/>
    <w:rPr>
      <w:rFonts w:ascii="仿宋_GB2312" w:eastAsia="仿宋_GB2312"/>
      <w:sz w:val="32"/>
    </w:rPr>
  </w:style>
  <w:style w:type="paragraph" w:customStyle="1" w:styleId="6">
    <w:name w:val="引用1"/>
    <w:basedOn w:val="1"/>
    <w:next w:val="1"/>
    <w:qFormat/>
    <w:uiPriority w:val="29"/>
    <w:pPr>
      <w:spacing w:beforeLines="50" w:afterLines="50" w:line="360" w:lineRule="auto"/>
    </w:pPr>
    <w:rPr>
      <w:i/>
      <w:iCs/>
      <w:color w:val="00000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7"/>
    <w:uiPriority w:val="0"/>
    <w:pPr>
      <w:tabs>
        <w:tab w:val="center" w:pos="4153"/>
        <w:tab w:val="right" w:pos="8306"/>
      </w:tabs>
      <w:snapToGrid w:val="0"/>
      <w:spacing w:line="240" w:lineRule="auto"/>
      <w:jc w:val="center"/>
    </w:pPr>
    <w:rPr>
      <w:sz w:val="18"/>
      <w:szCs w:val="18"/>
    </w:rPr>
  </w:style>
  <w:style w:type="paragraph" w:styleId="9">
    <w:name w:val="Normal (Web)"/>
    <w:basedOn w:val="1"/>
    <w:qFormat/>
    <w:uiPriority w:val="0"/>
    <w:pPr>
      <w:spacing w:line="336" w:lineRule="auto"/>
      <w:jc w:val="left"/>
    </w:pPr>
    <w:rPr>
      <w:rFonts w:ascii="宋体" w:hAnsi="宋体"/>
      <w:kern w:val="0"/>
      <w:sz w:val="24"/>
    </w:rPr>
  </w:style>
  <w:style w:type="character" w:styleId="11">
    <w:name w:val="Strong"/>
    <w:qFormat/>
    <w:uiPriority w:val="0"/>
    <w:rPr>
      <w:b/>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3">
    <w:name w:val="列表段落1"/>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null3"/>
    <w:hidden/>
    <w:uiPriority w:val="0"/>
    <w:rPr>
      <w:rFonts w:hint="eastAsia"/>
      <w:lang w:val="en-US"/>
    </w:rPr>
  </w:style>
  <w:style w:type="character" w:customStyle="1" w:styleId="17">
    <w:name w:val="页眉 字符"/>
    <w:basedOn w:val="10"/>
    <w:link w:val="8"/>
    <w:uiPriority w:val="0"/>
    <w:rPr>
      <w:rFonts w:ascii="Calibri" w:hAnsi="Calibri" w:cs="黑体"/>
      <w:kern w:val="2"/>
      <w:sz w:val="18"/>
      <w:szCs w:val="18"/>
    </w:rPr>
  </w:style>
  <w:style w:type="character" w:customStyle="1" w:styleId="18">
    <w:name w:val="b-free-read-leaf"/>
    <w:basedOn w:val="10"/>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1178</Words>
  <Characters>1274</Characters>
  <Lines>84</Lines>
  <Paragraphs>72</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2025-04-08T03:21:00Z</dcterms:created>
  <dc:creator>Admin</dc:creator>
  <cp:lastModifiedBy>Admin</cp:lastModifiedBy>
  <cp:lastPrinted>2023-06-20T07:45:00Z</cp:lastPrinted>
  <dcterms:modified xsi:type="dcterms:W3CDTF">2025-04-21T08:01:53Z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