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wordWrap/>
        <w:spacing w:before="0" w:after="0" w:line="360" w:lineRule="auto"/>
        <w:ind w:left="0" w:leftChars="0" w:right="0"/>
        <w:jc w:val="center"/>
        <w:rPr>
          <w:rFonts w:hint="eastAsia" w:ascii="仿宋_GB2312" w:hAnsi="仿宋_GB2312" w:eastAsia="方正小标宋简体" w:cs="仿宋_GB2312"/>
          <w:b w:val="0"/>
          <w:kern w:val="2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/>
        </w:rPr>
        <w:t>福建省肿瘤医院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Cs w:val="44"/>
        </w:rPr>
        <w:t>网超品牌论证公告</w:t>
      </w:r>
    </w:p>
    <w:p>
      <w:pPr>
        <w:widowControl/>
        <w:shd w:val="clear" w:color="auto" w:fill="FFFFFF"/>
        <w:wordWrap/>
        <w:adjustRightInd w:val="0"/>
        <w:snapToGrid w:val="0"/>
        <w:spacing w:before="0" w:after="0" w:line="360" w:lineRule="auto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第一部分 须知前附表</w:t>
      </w:r>
    </w:p>
    <w:tbl>
      <w:tblPr>
        <w:tblpPr w:leftFromText="180" w:rightFromText="180" w:vertAnchor="text" w:horzAnchor="page" w:tblpX="1852" w:tblpY="337"/>
        <w:tblOverlap w:val="never"/>
        <w:tblW w:w="874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77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7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主　　　要　　　 内　　　 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分子病理存储服务器 （二次）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spacing w:before="0" w:after="0" w:line="360" w:lineRule="auto"/>
              <w:ind w:left="0" w:leftChars="0" w:right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调研报名时间：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2025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至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(节假日除外)8：00-12：00或14：00-17：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(北京时间）</w:t>
            </w:r>
          </w:p>
          <w:p>
            <w:pPr>
              <w:widowControl/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调研会时间：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 w:color="auto"/>
                <w:lang w:val="en-US" w:eastAsia="zh-CN"/>
              </w:rPr>
              <w:t xml:space="preserve"> 2025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9:00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文件正本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highlight w:val="none"/>
                <w:u w:val="single"/>
              </w:rPr>
              <w:t>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份,副本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highlight w:val="none"/>
                <w:u w:val="single"/>
              </w:rPr>
              <w:t>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份胶装并密封加盖投标人公章。文件未胶装将视为无效。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文件递交处：福建省肿瘤医院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网络技术中心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上述时间、地点如有变动，以单位届时通知为准。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0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/>
              <w:adjustRightInd w:val="0"/>
              <w:snapToGrid w:val="0"/>
              <w:spacing w:before="0" w:after="0" w:line="360" w:lineRule="auto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采购报名、采购调研等采购过程中有任何异议，可联系我院监督科室。电话：83660063-8407；83660063-8467。</w:t>
            </w:r>
          </w:p>
        </w:tc>
      </w:tr>
    </w:tbl>
    <w:p>
      <w:pPr>
        <w:widowControl/>
        <w:shd w:val="clear" w:color="auto" w:fill="FFFFFF"/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地　址： 福建省福州市福马路420号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widowControl/>
        <w:shd w:val="clear" w:color="auto" w:fill="FFFFFF"/>
        <w:wordWrap/>
        <w:spacing w:before="0" w:after="0" w:line="360" w:lineRule="auto"/>
        <w:ind w:left="0" w:leftChars="0" w:right="0" w:firstLine="420" w:firstLineChars="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福建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省肿瘤医院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科研楼四楼网络技术中心</w:t>
      </w:r>
    </w:p>
    <w:p>
      <w:pPr>
        <w:widowControl/>
        <w:shd w:val="clear" w:color="auto" w:fill="FFFFFF"/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邮　编： 350014　 </w:t>
      </w:r>
    </w:p>
    <w:p>
      <w:pPr>
        <w:widowControl/>
        <w:shd w:val="clear" w:color="auto" w:fill="FFFFFF"/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报名联系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电话： 0591-83660063-8822</w:t>
      </w:r>
    </w:p>
    <w:p>
      <w:pPr>
        <w:widowControl/>
        <w:shd w:val="clear" w:color="auto" w:fill="FFFFFF"/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钱工、金工</w:t>
      </w:r>
    </w:p>
    <w:p>
      <w:pPr>
        <w:pStyle w:val="2"/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widowControl/>
        <w:shd w:val="clear" w:color="auto" w:fill="FFFFFF"/>
        <w:wordWrap/>
        <w:adjustRightInd w:val="0"/>
        <w:snapToGrid w:val="0"/>
        <w:spacing w:before="0" w:after="0" w:line="360" w:lineRule="auto"/>
        <w:ind w:left="0" w:leftChars="0" w:right="0" w:firstLine="42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第二部分 具体要求</w:t>
      </w:r>
    </w:p>
    <w:p>
      <w:pPr>
        <w:widowControl/>
        <w:shd w:val="clear" w:color="auto" w:fill="FFFFFF"/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采购内容</w:t>
      </w:r>
    </w:p>
    <w:tbl>
      <w:tblPr>
        <w:tblpPr w:leftFromText="180" w:rightFromText="180" w:vertAnchor="text" w:horzAnchor="page" w:tblpX="1562" w:tblpY="283"/>
        <w:tblOverlap w:val="never"/>
        <w:tblW w:w="93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7"/>
        <w:gridCol w:w="3178"/>
        <w:gridCol w:w="1590"/>
        <w:gridCol w:w="1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97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>合同包</w:t>
            </w:r>
          </w:p>
        </w:tc>
        <w:tc>
          <w:tcPr>
            <w:tcW w:w="3178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名 称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数量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预算（万元）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2697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一）</w:t>
            </w:r>
          </w:p>
        </w:tc>
        <w:tc>
          <w:tcPr>
            <w:tcW w:w="3178" w:type="dxa"/>
            <w:vAlign w:val="center"/>
          </w:tcPr>
          <w:p>
            <w:pPr>
              <w:numPr>
                <w:numId w:val="0"/>
              </w:numPr>
              <w:wordWrap/>
              <w:spacing w:before="0" w:after="0" w:line="360" w:lineRule="auto"/>
              <w:ind w:left="0" w:leftChars="0" w:right="0" w:firstLine="0" w:firstLineChars="0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分子病理存储服务器</w:t>
            </w:r>
          </w:p>
        </w:tc>
        <w:tc>
          <w:tcPr>
            <w:tcW w:w="1590" w:type="dxa"/>
            <w:vAlign w:val="center"/>
          </w:tcPr>
          <w:p>
            <w:pPr>
              <w:wordWrap/>
              <w:autoSpaceDN w:val="0"/>
              <w:spacing w:before="0" w:after="0" w:line="360" w:lineRule="auto"/>
              <w:ind w:left="0" w:leftChars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894" w:type="dxa"/>
            <w:vAlign w:val="center"/>
          </w:tcPr>
          <w:p>
            <w:pPr>
              <w:wordWrap/>
              <w:autoSpaceDN w:val="0"/>
              <w:spacing w:before="0" w:after="0" w:line="360" w:lineRule="auto"/>
              <w:ind w:left="0" w:leftChars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25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/>
        <w:widowControl/>
        <w:numPr>
          <w:numId w:val="0"/>
        </w:numPr>
        <w:shd w:val="clear" w:color="auto" w:fill="FFFFFF"/>
        <w:wordWrap/>
        <w:autoSpaceDE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技术功能及服务要求</w:t>
      </w:r>
    </w:p>
    <w:p>
      <w:pPr>
        <w:pStyle w:val="2"/>
        <w:numPr>
          <w:numId w:val="0"/>
        </w:numPr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1、合同包（一）</w:t>
      </w:r>
    </w:p>
    <w:tbl>
      <w:tblPr>
        <w:tblW w:w="8525" w:type="dxa"/>
        <w:jc w:val="center"/>
        <w:tblInd w:w="8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508"/>
        <w:gridCol w:w="5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034" w:type="dxa"/>
            <w:vAlign w:val="center"/>
          </w:tcPr>
          <w:p>
            <w:pPr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508" w:type="dxa"/>
            <w:vAlign w:val="center"/>
          </w:tcPr>
          <w:p>
            <w:pPr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5983" w:type="dxa"/>
            <w:vAlign w:val="center"/>
          </w:tcPr>
          <w:p>
            <w:pPr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5" w:hRule="exact"/>
          <w:jc w:val="center"/>
        </w:trPr>
        <w:tc>
          <w:tcPr>
            <w:tcW w:w="1034" w:type="dxa"/>
            <w:vAlign w:val="center"/>
          </w:tcPr>
          <w:p>
            <w:pPr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wordWrap/>
              <w:spacing w:before="0" w:after="0" w:line="360" w:lineRule="auto"/>
              <w:ind w:left="0" w:leftChars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服务器</w:t>
            </w:r>
          </w:p>
        </w:tc>
        <w:tc>
          <w:tcPr>
            <w:tcW w:w="5983" w:type="dxa"/>
            <w:vAlign w:val="center"/>
          </w:tcPr>
          <w:p>
            <w:pPr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 CPU配置≥2颗国产C86架构处理器，单颗CPU不低于24核心，主频不低于2.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GHz；</w:t>
            </w:r>
          </w:p>
          <w:p>
            <w:pPr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 内存插槽数≥32个，配置≥256GB DDR4-3200内存，最大支持4.0TB内存容量；</w:t>
            </w:r>
          </w:p>
          <w:p>
            <w:pPr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 可插拔硬盘槽位≥28个，配置≥2*960GB SSD硬盘，配置≥20*16TB 3.5in HDD硬盘，支持多达24个3.5英寸硬盘、4个2.5英寸硬盘，支持SAS/SATA HDD/SSD硬盘，支持前置/内置NVMe硬盘，支持SATA M.2选件；</w:t>
            </w:r>
          </w:p>
          <w:p>
            <w:pPr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 配置≥4个千兆电口，≥2个25GE光口(含2个25G多模光模块)，板载1个1Gbps独立远程管理控制端口；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2" w:hRule="exact"/>
          <w:jc w:val="center"/>
        </w:trPr>
        <w:tc>
          <w:tcPr>
            <w:tcW w:w="1034" w:type="dxa"/>
            <w:vAlign w:val="center"/>
          </w:tcPr>
          <w:p>
            <w:pPr>
              <w:wordWrap/>
              <w:spacing w:before="0" w:after="0" w:line="360" w:lineRule="auto"/>
              <w:ind w:left="0" w:leftChars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983" w:type="dxa"/>
            <w:vAlign w:val="center"/>
          </w:tcPr>
          <w:p>
            <w:pPr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 配置≥12Gb 2端口SAS RAID卡(支持8个SAS口,4G缓存,含掉电保护)；</w:t>
            </w:r>
          </w:p>
          <w:p>
            <w:pPr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 为保证产品的可扩展性，要求支持≥10个PCIe 4.0/3.0扩展槽、1个板载OCP3.0插槽和1个板载RAID卡；</w:t>
            </w:r>
          </w:p>
          <w:p>
            <w:pPr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 为保证产品的安全性，满足中国标准TCM 1.0可信计算要求；</w:t>
            </w:r>
          </w:p>
          <w:p>
            <w:pPr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8. 配置1300W 1+1冗余电源；</w:t>
            </w:r>
          </w:p>
          <w:p>
            <w:pPr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9. 提供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年原厂售后维保服务。</w:t>
            </w:r>
          </w:p>
        </w:tc>
      </w:tr>
    </w:tbl>
    <w:p>
      <w:pPr>
        <w:numPr>
          <w:numId w:val="0"/>
        </w:numPr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其他要求</w:t>
      </w:r>
    </w:p>
    <w:p>
      <w:pPr>
        <w:widowControl/>
        <w:numPr>
          <w:ilvl w:val="0"/>
          <w:numId w:val="2"/>
        </w:numPr>
        <w:spacing w:line="315" w:lineRule="atLeast"/>
        <w:ind w:firstLine="640" w:firstLineChars="200"/>
        <w:rPr>
          <w:rFonts w:ascii="FangSong_GB2312" w:hAnsi="FangSong_GB2312" w:eastAsia="FangSong_GB2312" w:cs="FangSong_GB2312"/>
          <w:color w:val="000000"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本项目为交钥匙工程，主要工作为：各设备上架调试、系统集成等软硬件安装工作，同时必须结合医院现有设备及应用情况，实施现有及本项目规划、等保安全、系统集成、数据迁移、协助完成医院评审工作包括但不限于三级等保评审、电子病历评审、互联互通评审等各项工作；</w:t>
      </w:r>
    </w:p>
    <w:p>
      <w:pPr>
        <w:widowControl/>
        <w:numPr>
          <w:ilvl w:val="0"/>
          <w:numId w:val="2"/>
        </w:numPr>
        <w:spacing w:line="315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</w:rPr>
        <w:t>本预算价应包含设备价格、实施费用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含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</w:rPr>
        <w:t>相关光纤辅材，机柜整理及设备接地服务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</w:rPr>
        <w:t>、集成费用及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none" w:color="auto"/>
          <w:lang w:val="en-US" w:eastAsia="zh-CN"/>
        </w:rPr>
        <w:t>3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none" w:color="auto"/>
        </w:rPr>
        <w:t>年保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</w:rPr>
        <w:t>修期内（扩容设备随主机保修）的维修及服务费用等，本预算价为含税开票价格。</w:t>
      </w:r>
    </w:p>
    <w:p>
      <w:pPr>
        <w:widowControl/>
        <w:numPr>
          <w:ilvl w:val="0"/>
          <w:numId w:val="2"/>
        </w:numPr>
        <w:spacing w:line="315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本项目系统安装调试并经验收合格后，应对采购方的相关人员提供关于系统应用时技术和操作方面的培训。相关培训费用应包含在投标总价中。</w:t>
      </w:r>
    </w:p>
    <w:p>
      <w:pPr>
        <w:pStyle w:val="13"/>
        <w:numPr>
          <w:numId w:val="0"/>
        </w:numPr>
        <w:wordWrap/>
        <w:spacing w:before="0" w:beforeAutospacing="0" w:after="0" w:afterAutospacing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1"/>
        </w:numPr>
        <w:wordWrap/>
        <w:overflowPunct w:val="0"/>
        <w:autoSpaceDE w:val="0"/>
        <w:autoSpaceDN w:val="0"/>
        <w:adjustRightInd w:val="0"/>
        <w:spacing w:before="0" w:after="0" w:line="360" w:lineRule="auto"/>
        <w:ind w:left="0" w:leftChars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调研说明</w:t>
      </w: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报名参加本次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调研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的供应商、厂家需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提供如下相关资料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。</w:t>
      </w:r>
    </w:p>
    <w:p>
      <w:pPr>
        <w:widowControl/>
        <w:numPr>
          <w:ilvl w:val="0"/>
          <w:numId w:val="3"/>
        </w:numPr>
        <w:wordWrap/>
        <w:snapToGrid/>
        <w:spacing w:before="0" w:after="0" w:line="360" w:lineRule="auto"/>
        <w:ind w:left="0" w:leftChars="0" w:right="0" w:firstLine="720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highlight w:val="none"/>
        </w:rPr>
        <w:t>报名请携带加盖公章的项目文件回执单、营业执照复印件、公司简介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highlight w:val="none"/>
          <w:lang w:val="en-US" w:eastAsia="zh-CN"/>
        </w:rPr>
        <w:t>可含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shd w:val="clear" w:color="auto" w:fill="FFFFFF"/>
        </w:rPr>
        <w:t>提供设备彩页等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highlight w:val="none"/>
          <w:lang w:eastAsia="zh-CN"/>
        </w:rPr>
        <w:t>。</w:t>
      </w:r>
    </w:p>
    <w:p>
      <w:pPr>
        <w:widowControl/>
        <w:shd w:val="clear" w:color="auto" w:fill="FFFFFF"/>
        <w:wordWrap/>
        <w:snapToGrid/>
        <w:spacing w:before="0" w:after="0" w:line="360" w:lineRule="auto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wordWrap/>
        <w:snapToGrid/>
        <w:spacing w:before="0" w:after="0" w:line="360" w:lineRule="auto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2、参与项目调研供应商代表的个人授权函（需加盖供应商公章）和身份证复印件。</w:t>
      </w:r>
    </w:p>
    <w:p>
      <w:pPr>
        <w:widowControl/>
        <w:shd w:val="clear" w:color="auto" w:fill="FFFFFF"/>
        <w:wordWrap/>
        <w:snapToGrid/>
        <w:spacing w:before="0" w:after="0" w:line="360" w:lineRule="auto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3、分别提供“信用中国”网站（www.creditchina.gov.cn）、“中国政府采购网”网站（http://www.ccgp.gov.cn/search/cr/）信用记录查询截图，无不良记录并加盖公章（截图查询日期必须在该公告日期内）。</w:t>
      </w:r>
    </w:p>
    <w:p>
      <w:pPr>
        <w:pStyle w:val="2"/>
        <w:numPr>
          <w:numId w:val="0"/>
        </w:numPr>
        <w:wordWrap/>
        <w:snapToGrid/>
        <w:spacing w:before="0" w:after="0" w:line="360" w:lineRule="auto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4、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提供业绩清单及近3年省内同类项目中标书</w:t>
      </w:r>
    </w:p>
    <w:p>
      <w:pPr>
        <w:pStyle w:val="2"/>
        <w:numPr>
          <w:numId w:val="0"/>
        </w:numPr>
        <w:wordWrap/>
        <w:snapToGrid/>
        <w:spacing w:before="0" w:after="0" w:line="360" w:lineRule="auto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5、本调研会的报价仅做为本项目</w:t>
      </w:r>
      <w:r>
        <w:rPr>
          <w:rFonts w:hint="eastAsia" w:ascii="仿宋_GB2312" w:hAnsi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论证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的预算限价；</w:t>
      </w:r>
    </w:p>
    <w:p>
      <w:pPr>
        <w:pStyle w:val="2"/>
        <w:numPr>
          <w:numId w:val="0"/>
        </w:numPr>
        <w:wordWrap/>
        <w:snapToGrid/>
        <w:spacing w:before="0" w:after="0" w:line="360" w:lineRule="auto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6、上述各参数将做为本项目</w:t>
      </w:r>
      <w:r>
        <w:rPr>
          <w:rFonts w:hint="eastAsia" w:ascii="仿宋_GB2312" w:hAnsi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论证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的主要参数，不代表本项目招标的最终参数；</w:t>
      </w:r>
    </w:p>
    <w:p>
      <w:pPr>
        <w:pStyle w:val="2"/>
        <w:numPr>
          <w:numId w:val="0"/>
        </w:numPr>
        <w:wordWrap/>
        <w:snapToGrid/>
        <w:spacing w:before="0" w:after="0" w:line="360" w:lineRule="auto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7、参加调研会的公司应准备PPT材料（含方案介绍、服务及集成能力、应用案例、报价等）、技术参数等材料，每公司讲解时间30分钟（含答疑10分钟）；同时上述材料须交予院方留档（发送邮件到wlb@fjzlhospital.com，并提供U盘留档）。</w:t>
      </w:r>
    </w:p>
    <w:p>
      <w:pPr>
        <w:pStyle w:val="2"/>
        <w:wordWrap/>
        <w:spacing w:before="0" w:after="0" w:line="360" w:lineRule="auto"/>
        <w:ind w:left="0" w:leftChars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center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</w:rPr>
        <w:t>项目文件回执单</w:t>
      </w: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请有意向参与的公司在项目公示期内携带回执单至福建省肿瘤医院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网络技术中心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报名。</w:t>
      </w:r>
    </w:p>
    <w:tbl>
      <w:tblPr>
        <w:tblW w:w="8154" w:type="dxa"/>
        <w:tblInd w:w="35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2651"/>
        <w:gridCol w:w="2115"/>
        <w:gridCol w:w="22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6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21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22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品牌及型号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公司名称：</w:t>
      </w: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 xml:space="preserve">联系人：　 </w:t>
      </w: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联系电话：</w:t>
      </w: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公司盖章：</w:t>
      </w: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pStyle w:val="2"/>
        <w:wordWrap/>
        <w:spacing w:before="0" w:after="0" w:line="360" w:lineRule="auto"/>
        <w:ind w:left="0" w:leftChars="0" w:right="0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pStyle w:val="2"/>
        <w:wordWrap/>
        <w:spacing w:before="0" w:after="0" w:line="360" w:lineRule="auto"/>
        <w:ind w:left="0" w:leftChars="0" w:right="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        福建省肿瘤医院</w:t>
      </w:r>
    </w:p>
    <w:p>
      <w:pPr>
        <w:pStyle w:val="2"/>
        <w:wordWrap/>
        <w:spacing w:before="0" w:after="0" w:line="360" w:lineRule="auto"/>
        <w:ind w:left="0" w:leftChars="0" w:right="0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           年  月  日</w:t>
      </w:r>
    </w:p>
    <w:p>
      <w:pPr>
        <w:pStyle w:val="2"/>
        <w:wordWrap/>
        <w:spacing w:before="0" w:after="0" w:line="360" w:lineRule="auto"/>
        <w:ind w:left="0" w:leftChars="0" w:right="0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bookmarkEnd w:id="0"/>
    <w:sectPr>
      <w:footerReference r:id="rId4" w:type="default"/>
      <w:pgSz w:w="12240" w:h="15840"/>
      <w:pgMar w:top="1417" w:right="1587" w:bottom="1417" w:left="1587" w:header="720" w:footer="720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rect id="Quad Arrow 1025" o:spid="_x0000_s1025" style="position:absolute;left:0;margin-top:0pt;height:12.8pt;width:5.35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243651022">
    <w:nsid w:val="C1562FCE"/>
    <w:multiLevelType w:val="singleLevel"/>
    <w:tmpl w:val="C1562FCE"/>
    <w:lvl w:ilvl="0" w:tentative="1">
      <w:start w:val="1"/>
      <w:numFmt w:val="decimal"/>
      <w:suff w:val="nothing"/>
      <w:lvlText w:val="%1、"/>
      <w:lvlJc w:val="left"/>
    </w:lvl>
  </w:abstractNum>
  <w:abstractNum w:abstractNumId="1739864447">
    <w:nsid w:val="67B4397F"/>
    <w:multiLevelType w:val="singleLevel"/>
    <w:tmpl w:val="67B4397F"/>
    <w:lvl w:ilvl="0" w:tentative="1">
      <w:start w:val="1"/>
      <w:numFmt w:val="decimal"/>
      <w:suff w:val="nothing"/>
      <w:lvlText w:val="%1、"/>
      <w:lvlJc w:val="left"/>
    </w:lvl>
  </w:abstractNum>
  <w:abstractNum w:abstractNumId="1398085122">
    <w:nsid w:val="53551602"/>
    <w:multiLevelType w:val="singleLevel"/>
    <w:tmpl w:val="53551602"/>
    <w:lvl w:ilvl="0" w:tentative="1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398085122"/>
  </w:num>
  <w:num w:numId="2">
    <w:abstractNumId w:val="3243651022"/>
  </w:num>
  <w:num w:numId="3">
    <w:abstractNumId w:val="1739864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WYwOWNhMWIwMTM5Y2VhMTQwZDE5YzA3MTI0ODg5N2E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napToGrid w:val="0"/>
      <w:spacing w:line="300" w:lineRule="auto"/>
      <w:ind w:firstLine="200" w:firstLineChars="200"/>
      <w:outlineLvl w:val="1"/>
    </w:pPr>
    <w:rPr>
      <w:rFonts w:ascii="Arial" w:hAnsi="Arial"/>
      <w:b/>
      <w:bCs/>
      <w:szCs w:val="32"/>
    </w:rPr>
  </w:style>
  <w:style w:type="character" w:default="1" w:styleId="9">
    <w:name w:val="Default Paragraph Font"/>
    <w:semiHidden/>
    <w:qFormat/>
    <w:uiPriority w:val="0"/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仿宋_GB2312"/>
      <w:kern w:val="28"/>
      <w:sz w:val="24"/>
      <w:szCs w:val="20"/>
    </w:rPr>
  </w:style>
  <w:style w:type="paragraph" w:styleId="5">
    <w:name w:val="Body Text"/>
    <w:basedOn w:val="1"/>
    <w:next w:val="6"/>
    <w:unhideWhenUsed/>
    <w:qFormat/>
    <w:uiPriority w:val="99"/>
    <w:rPr>
      <w:rFonts w:ascii="仿宋_GB2312" w:eastAsia="仿宋_GB2312"/>
      <w:sz w:val="32"/>
    </w:rPr>
  </w:style>
  <w:style w:type="paragraph" w:customStyle="1" w:styleId="6">
    <w:name w:val="Quote"/>
    <w:basedOn w:val="1"/>
    <w:next w:val="1"/>
    <w:qFormat/>
    <w:uiPriority w:val="29"/>
    <w:pPr>
      <w:spacing w:beforeLines="50" w:afterLines="50" w:line="360" w:lineRule="auto"/>
    </w:pPr>
    <w:rPr>
      <w:i/>
      <w:iCs/>
      <w:color w:val="000000"/>
      <w:lang w:val="zh-CN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line="336" w:lineRule="auto"/>
      <w:jc w:val="left"/>
    </w:pPr>
    <w:rPr>
      <w:rFonts w:ascii="宋体" w:hAnsi="宋体"/>
      <w:kern w:val="0"/>
      <w:sz w:val="24"/>
    </w:rPr>
  </w:style>
  <w:style w:type="character" w:styleId="10">
    <w:name w:val="Strong"/>
    <w:qFormat/>
    <w:uiPriority w:val="0"/>
    <w:rPr>
      <w:b/>
    </w:rPr>
  </w:style>
  <w:style w:type="paragraph" w:customStyle="1" w:styleId="11">
    <w:name w:val="xl3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2759</Words>
  <Characters>3104</Characters>
  <Lines>0</Lines>
  <Paragraphs>0</Paragraphs>
  <ScaleCrop>false</ScaleCrop>
  <LinksUpToDate>false</LinksUpToDate>
  <CharactersWithSpaces>0</CharactersWithSpaces>
  <Application>WPS Office 专业版_8.1.0.0_{F1E327BC-269C-435d-A152-05C5408002CA}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2023-05-30T06:42:00Z</dcterms:created>
  <dc:creator>Admin</dc:creator>
  <cp:lastModifiedBy>Admin</cp:lastModifiedBy>
  <cp:lastPrinted>2023-06-20T07:45:00Z</cp:lastPrinted>
  <dcterms:modified xsi:type="dcterms:W3CDTF">2025-04-18T00:52:28Z</dcterms:modified>
  <dc:title>设备科：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2052-8.1.0.0</vt:lpwstr>
  </property>
  <property fmtid="{D5CDD505-2E9C-101B-9397-08002B2CF9AE}" pid="3" name="ICV">
    <vt:lpwstr>CD1CBFDCF0B34D54A1323A555A4AB815_12</vt:lpwstr>
  </property>
  <property fmtid="{D5CDD505-2E9C-101B-9397-08002B2CF9AE}" pid="4" name="KSOTemplateDocerSaveRecord">
    <vt:lpwstr>eyJoZGlkIjoiNjMxMGQ2ODQ1OTZiZjI5ZTE2YThiYTc0MTgyNDRkNmUiLCJ1c2VySWQiOiIxNDE1MTgzNjQyIn0=</vt:lpwstr>
  </property>
</Properties>
</file>