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181411">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67C6A" w:rsidRPr="00067C6A">
              <w:rPr>
                <w:rFonts w:ascii="仿宋_GB2312" w:eastAsia="仿宋_GB2312" w:hint="eastAsia"/>
                <w:bCs/>
                <w:sz w:val="32"/>
                <w:szCs w:val="32"/>
              </w:rPr>
              <w:t>MR高压注射器</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w:t>
            </w:r>
            <w:r w:rsidR="00AB7858">
              <w:rPr>
                <w:rFonts w:ascii="仿宋_GB2312" w:eastAsia="仿宋_GB2312" w:hint="eastAsia"/>
                <w:bCs/>
                <w:sz w:val="32"/>
                <w:szCs w:val="32"/>
              </w:rPr>
              <w:t>（二次挂网）</w:t>
            </w:r>
            <w:r w:rsidR="00DD62BC" w:rsidRPr="00DD62BC">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AB7858">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AB7858">
              <w:rPr>
                <w:rFonts w:ascii="仿宋_GB2312" w:eastAsia="仿宋_GB2312" w:hAnsi="仿宋_GB2312" w:cs="仿宋_GB2312" w:hint="eastAsia"/>
                <w:kern w:val="0"/>
                <w:sz w:val="32"/>
                <w:szCs w:val="32"/>
                <w:u w:val="single"/>
              </w:rPr>
              <w:t>7</w:t>
            </w:r>
            <w:r w:rsidRPr="00204729">
              <w:rPr>
                <w:rFonts w:ascii="仿宋_GB2312" w:eastAsia="仿宋_GB2312" w:hAnsi="仿宋_GB2312" w:cs="仿宋_GB2312" w:hint="eastAsia"/>
                <w:kern w:val="0"/>
                <w:sz w:val="32"/>
                <w:szCs w:val="32"/>
                <w:u w:val="single"/>
              </w:rPr>
              <w:t>日至</w:t>
            </w:r>
            <w:r w:rsidR="008552DA">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8552DA">
              <w:rPr>
                <w:rFonts w:ascii="仿宋_GB2312" w:eastAsia="仿宋_GB2312" w:hAnsi="仿宋_GB2312" w:cs="仿宋_GB2312" w:hint="eastAsia"/>
                <w:kern w:val="0"/>
                <w:sz w:val="32"/>
                <w:szCs w:val="32"/>
                <w:u w:val="single"/>
              </w:rPr>
              <w:t>1</w:t>
            </w:r>
            <w:r w:rsidR="00AB7858">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8552DA">
              <w:rPr>
                <w:rFonts w:asciiTheme="minorHAnsi" w:eastAsia="仿宋_GB2312" w:hAnsiTheme="minorHAnsi" w:cs="仿宋_GB2312" w:hint="eastAsia"/>
                <w:kern w:val="0"/>
                <w:sz w:val="32"/>
                <w:szCs w:val="32"/>
                <w:u w:val="single"/>
              </w:rPr>
              <w:t>4</w:t>
            </w:r>
            <w:r w:rsidRPr="00204729">
              <w:rPr>
                <w:rFonts w:asciiTheme="minorHAnsi" w:eastAsia="仿宋_GB2312" w:hAnsiTheme="minorHAnsi" w:cs="仿宋_GB2312" w:hint="eastAsia"/>
                <w:kern w:val="0"/>
                <w:sz w:val="32"/>
                <w:szCs w:val="32"/>
                <w:u w:val="single"/>
              </w:rPr>
              <w:t>月</w:t>
            </w:r>
            <w:r w:rsidR="00AB7858">
              <w:rPr>
                <w:rFonts w:asciiTheme="minorHAnsi" w:eastAsia="仿宋_GB2312" w:hAnsiTheme="minorHAnsi" w:cs="仿宋_GB2312" w:hint="eastAsia"/>
                <w:kern w:val="0"/>
                <w:sz w:val="32"/>
                <w:szCs w:val="32"/>
                <w:u w:val="single"/>
              </w:rPr>
              <w:t>15</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r w:rsidR="00AB7858">
              <w:rPr>
                <w:rFonts w:ascii="仿宋_GB2312" w:eastAsia="仿宋_GB2312" w:hAnsi="仿宋_GB2312" w:cs="仿宋_GB2312" w:hint="eastAsia"/>
                <w:sz w:val="32"/>
                <w:szCs w:val="32"/>
              </w:rPr>
              <w:t>第一次挂网已报名的无需重复报名。</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126A57">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18141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18141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18141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18141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18141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181411">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67C6A" w:rsidP="000B5146">
            <w:pPr>
              <w:spacing w:line="400" w:lineRule="exact"/>
              <w:jc w:val="center"/>
              <w:rPr>
                <w:rFonts w:ascii="仿宋_GB2312" w:eastAsia="仿宋_GB2312" w:hAnsi="仿宋_GB2312" w:cs="仿宋_GB2312"/>
                <w:color w:val="000000"/>
                <w:sz w:val="28"/>
                <w:szCs w:val="28"/>
              </w:rPr>
            </w:pPr>
            <w:bookmarkStart w:id="5" w:name="OLE_LINK5"/>
            <w:bookmarkStart w:id="6" w:name="OLE_LINK6"/>
            <w:r w:rsidRPr="00067C6A">
              <w:rPr>
                <w:rFonts w:ascii="仿宋_GB2312" w:eastAsia="仿宋_GB2312" w:hAnsi="仿宋_GB2312" w:cs="仿宋_GB2312" w:hint="eastAsia"/>
                <w:bCs/>
                <w:color w:val="000000"/>
                <w:sz w:val="28"/>
                <w:szCs w:val="28"/>
              </w:rPr>
              <w:t>MR高压注射器</w:t>
            </w:r>
            <w:bookmarkEnd w:id="5"/>
            <w:bookmarkEnd w:id="6"/>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1B361A"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181411">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067C6A" w:rsidP="000134CF">
            <w:pPr>
              <w:spacing w:line="400" w:lineRule="exact"/>
              <w:rPr>
                <w:rFonts w:ascii="仿宋_GB2312" w:eastAsia="仿宋_GB2312" w:hAnsi="仿宋_GB2312" w:cs="仿宋_GB2312"/>
                <w:sz w:val="28"/>
                <w:szCs w:val="28"/>
              </w:rPr>
            </w:pPr>
            <w:bookmarkStart w:id="7" w:name="OLE_LINK3"/>
            <w:bookmarkStart w:id="8" w:name="OLE_LINK4"/>
            <w:r>
              <w:rPr>
                <w:rFonts w:ascii="仿宋_GB2312" w:eastAsia="仿宋_GB2312" w:hAnsi="仿宋_GB2312" w:cs="仿宋_GB2312" w:hint="eastAsia"/>
                <w:bCs/>
                <w:color w:val="000000"/>
                <w:sz w:val="28"/>
                <w:szCs w:val="28"/>
              </w:rPr>
              <w:t>MR高压注射器</w:t>
            </w:r>
            <w:bookmarkEnd w:id="7"/>
            <w:bookmarkEnd w:id="8"/>
          </w:p>
        </w:tc>
        <w:tc>
          <w:tcPr>
            <w:tcW w:w="7512" w:type="dxa"/>
          </w:tcPr>
          <w:p w:rsidR="00067C6A" w:rsidRPr="00067C6A" w:rsidRDefault="00067C6A" w:rsidP="00067C6A">
            <w:pPr>
              <w:numPr>
                <w:ilvl w:val="0"/>
                <w:numId w:val="15"/>
              </w:numPr>
              <w:rPr>
                <w:rFonts w:ascii="宋体" w:hAnsi="宋体" w:cs="宋体"/>
              </w:rPr>
            </w:pPr>
            <w:r w:rsidRPr="00067C6A">
              <w:rPr>
                <w:rFonts w:ascii="宋体" w:hAnsi="宋体" w:cs="宋体" w:hint="eastAsia"/>
              </w:rPr>
              <w:t>注射速度：</w:t>
            </w:r>
            <w:r w:rsidRPr="00067C6A">
              <w:rPr>
                <w:rFonts w:ascii="宋体" w:hAnsi="宋体" w:cs="宋体"/>
              </w:rPr>
              <w:t>0.1- 8 mL/s</w:t>
            </w:r>
            <w:r w:rsidRPr="00067C6A">
              <w:rPr>
                <w:rFonts w:ascii="宋体" w:hAnsi="宋体" w:cs="宋体" w:hint="eastAsia"/>
              </w:rPr>
              <w:t>，步长</w:t>
            </w:r>
            <w:r w:rsidRPr="00067C6A">
              <w:rPr>
                <w:rFonts w:ascii="宋体" w:hAnsi="宋体" w:cs="宋体"/>
              </w:rPr>
              <w:t>0.1mL/s</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注射量：</w:t>
            </w:r>
            <w:r w:rsidRPr="00067C6A">
              <w:rPr>
                <w:rFonts w:ascii="宋体" w:hAnsi="宋体" w:cs="宋体"/>
              </w:rPr>
              <w:t>1-400ml</w:t>
            </w:r>
            <w:r w:rsidRPr="00067C6A">
              <w:rPr>
                <w:rFonts w:ascii="宋体" w:hAnsi="宋体" w:cs="宋体" w:hint="eastAsia"/>
              </w:rPr>
              <w:t>，步进</w:t>
            </w:r>
            <w:r w:rsidRPr="00067C6A">
              <w:rPr>
                <w:rFonts w:ascii="宋体" w:hAnsi="宋体" w:cs="宋体"/>
              </w:rPr>
              <w:t>0.1mL</w:t>
            </w:r>
          </w:p>
          <w:p w:rsidR="00067C6A" w:rsidRPr="00067C6A" w:rsidRDefault="00067C6A" w:rsidP="00067C6A">
            <w:pPr>
              <w:numPr>
                <w:ilvl w:val="0"/>
                <w:numId w:val="15"/>
              </w:numPr>
              <w:rPr>
                <w:rFonts w:ascii="宋体" w:hAnsi="宋体" w:cs="宋体"/>
              </w:rPr>
            </w:pPr>
            <w:r w:rsidRPr="00067C6A">
              <w:rPr>
                <w:rFonts w:ascii="宋体" w:hAnsi="宋体" w:cs="宋体" w:hint="eastAsia"/>
              </w:rPr>
              <w:t>压力范围：</w:t>
            </w:r>
            <w:r w:rsidRPr="00067C6A">
              <w:rPr>
                <w:rFonts w:ascii="宋体" w:hAnsi="宋体" w:cs="宋体"/>
              </w:rPr>
              <w:t>50 - 280 psi</w:t>
            </w:r>
            <w:r w:rsidRPr="00067C6A">
              <w:rPr>
                <w:rFonts w:ascii="宋体" w:hAnsi="宋体" w:cs="宋体" w:hint="eastAsia"/>
              </w:rPr>
              <w:t>，步长</w:t>
            </w:r>
            <w:r w:rsidRPr="00067C6A">
              <w:rPr>
                <w:rFonts w:ascii="宋体" w:hAnsi="宋体" w:cs="宋体"/>
              </w:rPr>
              <w:t>1psi</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多阶段注射功能：</w:t>
            </w:r>
            <w:r w:rsidRPr="00067C6A">
              <w:rPr>
                <w:rFonts w:ascii="宋体" w:hAnsi="宋体" w:cs="宋体"/>
              </w:rPr>
              <w:t>1-10</w:t>
            </w:r>
            <w:r w:rsidRPr="00067C6A">
              <w:rPr>
                <w:rFonts w:ascii="宋体" w:hAnsi="宋体" w:cs="宋体" w:hint="eastAsia"/>
              </w:rPr>
              <w:t>相注射。</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注射延时：</w:t>
            </w:r>
            <w:r w:rsidRPr="00067C6A">
              <w:rPr>
                <w:rFonts w:ascii="宋体" w:hAnsi="宋体" w:cs="宋体"/>
              </w:rPr>
              <w:t>0-999s</w:t>
            </w:r>
            <w:r w:rsidRPr="00067C6A">
              <w:rPr>
                <w:rFonts w:ascii="宋体" w:hAnsi="宋体" w:cs="宋体" w:hint="eastAsia"/>
              </w:rPr>
              <w:t>，步长</w:t>
            </w:r>
            <w:r w:rsidRPr="00067C6A">
              <w:rPr>
                <w:rFonts w:ascii="宋体" w:hAnsi="宋体" w:cs="宋体"/>
              </w:rPr>
              <w:t>0.1s</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扫描延时：</w:t>
            </w:r>
            <w:r w:rsidRPr="00067C6A">
              <w:rPr>
                <w:rFonts w:ascii="宋体" w:hAnsi="宋体" w:cs="宋体"/>
              </w:rPr>
              <w:t>0-999s</w:t>
            </w:r>
            <w:r w:rsidRPr="00067C6A">
              <w:rPr>
                <w:rFonts w:ascii="宋体" w:hAnsi="宋体" w:cs="宋体" w:hint="eastAsia"/>
              </w:rPr>
              <w:t>，步长</w:t>
            </w:r>
            <w:r w:rsidRPr="00067C6A">
              <w:rPr>
                <w:rFonts w:ascii="宋体" w:hAnsi="宋体" w:cs="宋体"/>
              </w:rPr>
              <w:t>0.1s</w:t>
            </w:r>
            <w:r w:rsidRPr="00067C6A">
              <w:rPr>
                <w:rFonts w:ascii="宋体" w:hAnsi="宋体" w:cs="宋体" w:hint="eastAsia"/>
              </w:rPr>
              <w:t>。</w:t>
            </w:r>
          </w:p>
          <w:p w:rsidR="00067C6A" w:rsidRPr="00067C6A" w:rsidRDefault="00067C6A" w:rsidP="00067C6A">
            <w:pPr>
              <w:numPr>
                <w:ilvl w:val="0"/>
                <w:numId w:val="15"/>
              </w:numPr>
              <w:rPr>
                <w:rFonts w:ascii="宋体" w:hAnsi="宋体" w:cs="宋体"/>
              </w:rPr>
            </w:pPr>
            <w:r w:rsidRPr="00067C6A">
              <w:rPr>
                <w:rFonts w:ascii="宋体" w:hAnsi="宋体" w:cs="宋体" w:hint="eastAsia"/>
              </w:rPr>
              <w:t>方案储存量：≥</w:t>
            </w:r>
            <w:r w:rsidRPr="00067C6A">
              <w:rPr>
                <w:rFonts w:ascii="宋体" w:hAnsi="宋体" w:cs="宋体"/>
              </w:rPr>
              <w:t>200</w:t>
            </w:r>
            <w:r w:rsidRPr="00067C6A">
              <w:rPr>
                <w:rFonts w:ascii="宋体" w:hAnsi="宋体" w:cs="宋体" w:hint="eastAsia"/>
              </w:rPr>
              <w:t>套记录。按扫描部位分类存储。</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注射液传输方式：滚子泵，单向传输，无需针筒。</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注射通道数：不少于3通道，其中造影剂不少于2通道（手动或自动切换），生理盐水不少于1通道。。</w:t>
            </w:r>
          </w:p>
          <w:p w:rsidR="00067C6A" w:rsidRPr="00067C6A" w:rsidRDefault="00067C6A" w:rsidP="00067C6A">
            <w:pPr>
              <w:numPr>
                <w:ilvl w:val="0"/>
                <w:numId w:val="15"/>
              </w:numPr>
              <w:rPr>
                <w:rFonts w:ascii="宋体" w:hAnsi="宋体" w:cs="宋体"/>
              </w:rPr>
            </w:pPr>
            <w:r w:rsidRPr="00067C6A">
              <w:rPr>
                <w:rFonts w:ascii="宋体" w:hAnsi="宋体" w:cs="宋体" w:hint="eastAsia"/>
              </w:rPr>
              <w:t>气泡传感器：多重气泡传感器监测，防止注入空气。</w:t>
            </w:r>
          </w:p>
          <w:p w:rsidR="00067C6A" w:rsidRPr="00067C6A" w:rsidRDefault="00067C6A" w:rsidP="00067C6A">
            <w:pPr>
              <w:numPr>
                <w:ilvl w:val="0"/>
                <w:numId w:val="15"/>
              </w:numPr>
              <w:rPr>
                <w:rFonts w:ascii="宋体" w:hAnsi="宋体" w:cs="宋体"/>
              </w:rPr>
            </w:pPr>
            <w:r w:rsidRPr="00067C6A">
              <w:rPr>
                <w:rFonts w:ascii="宋体" w:hAnsi="宋体" w:cs="宋体" w:hint="eastAsia"/>
              </w:rPr>
              <w:t>自动排气。排气速度：</w:t>
            </w:r>
            <w:r w:rsidRPr="00067C6A">
              <w:rPr>
                <w:rFonts w:ascii="宋体" w:hAnsi="宋体" w:cs="宋体"/>
              </w:rPr>
              <w:t>1-8mL/s</w:t>
            </w:r>
            <w:r w:rsidRPr="00067C6A">
              <w:rPr>
                <w:rFonts w:ascii="宋体" w:hAnsi="宋体" w:cs="宋体" w:hint="eastAsia"/>
              </w:rPr>
              <w:t>，支持“一键排气”。支持两种排气方式：“向上排气”和“向下排气”。</w:t>
            </w:r>
          </w:p>
          <w:p w:rsidR="00067C6A" w:rsidRPr="00067C6A" w:rsidRDefault="00067C6A" w:rsidP="00067C6A">
            <w:pPr>
              <w:numPr>
                <w:ilvl w:val="0"/>
                <w:numId w:val="15"/>
              </w:numPr>
              <w:rPr>
                <w:rFonts w:ascii="宋体" w:hAnsi="宋体" w:cs="宋体"/>
              </w:rPr>
            </w:pPr>
            <w:r w:rsidRPr="00067C6A">
              <w:rPr>
                <w:rFonts w:ascii="宋体" w:hAnsi="宋体" w:cs="宋体" w:hint="eastAsia"/>
              </w:rPr>
              <w:t>压力曲线：实时显示注射压力。压力曲线动态图型、实时数值显示，两种形式实时显示压力动态变化。</w:t>
            </w:r>
          </w:p>
          <w:p w:rsidR="00067C6A" w:rsidRPr="00067C6A" w:rsidRDefault="00067C6A" w:rsidP="00067C6A">
            <w:pPr>
              <w:numPr>
                <w:ilvl w:val="0"/>
                <w:numId w:val="15"/>
              </w:numPr>
              <w:rPr>
                <w:rFonts w:ascii="宋体" w:hAnsi="宋体" w:cs="宋体"/>
              </w:rPr>
            </w:pPr>
            <w:r w:rsidRPr="00067C6A">
              <w:rPr>
                <w:rFonts w:ascii="宋体" w:hAnsi="宋体" w:cs="宋体" w:hint="eastAsia"/>
              </w:rPr>
              <w:t>控制台：配备彩色LCD显示屏，触控操作。控制台显示屏可不同颜色显示造影剂、生理盐水和气泡的状态和位置。</w:t>
            </w:r>
          </w:p>
          <w:p w:rsidR="00067C6A" w:rsidRPr="00067C6A" w:rsidRDefault="00067C6A" w:rsidP="00067C6A">
            <w:pPr>
              <w:numPr>
                <w:ilvl w:val="0"/>
                <w:numId w:val="15"/>
              </w:numPr>
              <w:rPr>
                <w:rFonts w:ascii="宋体" w:hAnsi="宋体" w:cs="宋体"/>
              </w:rPr>
            </w:pPr>
            <w:r w:rsidRPr="00067C6A">
              <w:rPr>
                <w:rFonts w:ascii="宋体" w:hAnsi="宋体" w:cs="宋体" w:hint="eastAsia"/>
              </w:rPr>
              <w:t>压力限制功能：超过设定压力值，系统自动停止注射并显示报警信息。</w:t>
            </w:r>
          </w:p>
          <w:p w:rsidR="00067C6A" w:rsidRPr="00067C6A" w:rsidRDefault="00067C6A" w:rsidP="00067C6A">
            <w:pPr>
              <w:numPr>
                <w:ilvl w:val="0"/>
                <w:numId w:val="15"/>
              </w:numPr>
              <w:rPr>
                <w:rFonts w:ascii="宋体" w:hAnsi="宋体" w:cs="宋体"/>
              </w:rPr>
            </w:pPr>
            <w:r w:rsidRPr="00067C6A">
              <w:rPr>
                <w:rFonts w:ascii="宋体" w:hAnsi="宋体" w:cs="宋体" w:hint="eastAsia"/>
              </w:rPr>
              <w:t>畅通性测试：在进行主注射之前，可进行液体路径畅通性测试，确保液体路径通畅无堵塞。</w:t>
            </w:r>
          </w:p>
          <w:p w:rsidR="00067C6A" w:rsidRPr="00067C6A" w:rsidRDefault="00067C6A" w:rsidP="00067C6A">
            <w:pPr>
              <w:numPr>
                <w:ilvl w:val="0"/>
                <w:numId w:val="15"/>
              </w:numPr>
              <w:rPr>
                <w:rFonts w:ascii="宋体" w:hAnsi="宋体" w:cs="宋体"/>
              </w:rPr>
            </w:pPr>
            <w:r w:rsidRPr="00067C6A">
              <w:rPr>
                <w:rFonts w:ascii="宋体" w:hAnsi="宋体" w:cs="宋体" w:hint="eastAsia"/>
              </w:rPr>
              <w:t>定时团注：测量造影剂到达感兴区的准确时间，记录“扫描延迟”时间。</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注射器主机不需要电池。</w:t>
            </w:r>
          </w:p>
          <w:p w:rsidR="00067C6A" w:rsidRPr="00067C6A" w:rsidRDefault="00067C6A" w:rsidP="00067C6A">
            <w:pPr>
              <w:numPr>
                <w:ilvl w:val="0"/>
                <w:numId w:val="15"/>
              </w:numPr>
              <w:rPr>
                <w:rFonts w:ascii="宋体" w:hAnsi="宋体" w:cs="宋体"/>
              </w:rPr>
            </w:pPr>
            <w:r w:rsidRPr="00067C6A">
              <w:rPr>
                <w:rFonts w:ascii="宋体" w:hAnsi="宋体" w:cs="宋体" w:hint="eastAsia"/>
              </w:rPr>
              <w:t>连接管（含内管和外管）为市场上的通用耗材，非专机专用耗材。</w:t>
            </w:r>
          </w:p>
          <w:p w:rsidR="00067C6A" w:rsidRPr="00067C6A" w:rsidRDefault="00067C6A" w:rsidP="00067C6A">
            <w:pPr>
              <w:numPr>
                <w:ilvl w:val="0"/>
                <w:numId w:val="15"/>
              </w:numPr>
              <w:rPr>
                <w:rFonts w:ascii="宋体" w:hAnsi="宋体" w:cs="宋体"/>
              </w:rPr>
            </w:pPr>
            <w:r w:rsidRPr="00067C6A">
              <w:rPr>
                <w:rFonts w:ascii="宋体" w:hAnsi="宋体" w:cs="宋体" w:hint="eastAsia"/>
              </w:rPr>
              <w:t>注射器主体采用无磁材料，电机及驱动电路采用磁屏蔽技术，可以与磁共振设备兼容。</w:t>
            </w:r>
          </w:p>
          <w:p w:rsidR="005A41C9" w:rsidRPr="00067C6A" w:rsidRDefault="005A41C9" w:rsidP="0000788D">
            <w:pPr>
              <w:rPr>
                <w:rFonts w:ascii="宋体" w:hAnsi="宋体" w:cs="宋体"/>
              </w:rPr>
            </w:pP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w:t>
      </w:r>
      <w:r w:rsidR="0044069B">
        <w:rPr>
          <w:rFonts w:ascii="仿宋_GB2312" w:eastAsia="仿宋_GB2312" w:hAnsi="仿宋_GB2312" w:cs="仿宋_GB2312" w:hint="eastAsia"/>
          <w:bCs/>
          <w:sz w:val="32"/>
          <w:szCs w:val="32"/>
          <w:shd w:val="clear" w:color="auto" w:fill="FFFFFF"/>
        </w:rPr>
        <w:lastRenderedPageBreak/>
        <w:t>运输、装卸、保险、安装施工、调试、验收、人员培训、检验、税金等一切费用。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52DA" w:rsidRDefault="008552DA">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00" w:rsidRDefault="00BE0000" w:rsidP="00EC5835">
      <w:r>
        <w:separator/>
      </w:r>
    </w:p>
  </w:endnote>
  <w:endnote w:type="continuationSeparator" w:id="1">
    <w:p w:rsidR="00BE0000" w:rsidRDefault="00BE0000"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00" w:rsidRDefault="00BE0000" w:rsidP="00EC5835">
      <w:r>
        <w:separator/>
      </w:r>
    </w:p>
  </w:footnote>
  <w:footnote w:type="continuationSeparator" w:id="1">
    <w:p w:rsidR="00BE0000" w:rsidRDefault="00BE0000"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28DA73CD"/>
    <w:multiLevelType w:val="multilevel"/>
    <w:tmpl w:val="28DA73CD"/>
    <w:lvl w:ilvl="0">
      <w:start w:val="1"/>
      <w:numFmt w:val="decimal"/>
      <w:lvlText w:val="%1."/>
      <w:lvlJc w:val="left"/>
      <w:pPr>
        <w:ind w:left="425" w:hanging="425"/>
      </w:pPr>
      <w:rPr>
        <w:rFonts w:cs="Times New Roman"/>
        <w:color w:val="auto"/>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8">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9">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4">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10"/>
  </w:num>
  <w:num w:numId="6">
    <w:abstractNumId w:val="13"/>
  </w:num>
  <w:num w:numId="7">
    <w:abstractNumId w:val="12"/>
  </w:num>
  <w:num w:numId="8">
    <w:abstractNumId w:val="6"/>
  </w:num>
  <w:num w:numId="9">
    <w:abstractNumId w:val="9"/>
  </w:num>
  <w:num w:numId="10">
    <w:abstractNumId w:val="8"/>
  </w:num>
  <w:num w:numId="11">
    <w:abstractNumId w:val="3"/>
  </w:num>
  <w:num w:numId="12">
    <w:abstractNumId w:val="14"/>
  </w:num>
  <w:num w:numId="13">
    <w:abstractNumId w:val="5"/>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67C6A"/>
    <w:rsid w:val="000853C0"/>
    <w:rsid w:val="00093A65"/>
    <w:rsid w:val="00093B73"/>
    <w:rsid w:val="000A5B31"/>
    <w:rsid w:val="000B451D"/>
    <w:rsid w:val="000B5146"/>
    <w:rsid w:val="000C4B54"/>
    <w:rsid w:val="000C6244"/>
    <w:rsid w:val="000D09A7"/>
    <w:rsid w:val="000D278D"/>
    <w:rsid w:val="000D642A"/>
    <w:rsid w:val="000E1BF9"/>
    <w:rsid w:val="000F4960"/>
    <w:rsid w:val="0010753F"/>
    <w:rsid w:val="00113392"/>
    <w:rsid w:val="00117C26"/>
    <w:rsid w:val="00126A57"/>
    <w:rsid w:val="001443BB"/>
    <w:rsid w:val="00145F3E"/>
    <w:rsid w:val="00151772"/>
    <w:rsid w:val="00166F63"/>
    <w:rsid w:val="00174AEB"/>
    <w:rsid w:val="00181411"/>
    <w:rsid w:val="00186DFD"/>
    <w:rsid w:val="00190496"/>
    <w:rsid w:val="00195C92"/>
    <w:rsid w:val="001B361A"/>
    <w:rsid w:val="001F2B85"/>
    <w:rsid w:val="001F6B69"/>
    <w:rsid w:val="00204729"/>
    <w:rsid w:val="00215F2C"/>
    <w:rsid w:val="00220BD5"/>
    <w:rsid w:val="00236F43"/>
    <w:rsid w:val="002407C2"/>
    <w:rsid w:val="002C005E"/>
    <w:rsid w:val="002E3462"/>
    <w:rsid w:val="002F30A8"/>
    <w:rsid w:val="00317A9F"/>
    <w:rsid w:val="00336295"/>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4A1C"/>
    <w:rsid w:val="00586186"/>
    <w:rsid w:val="00595A2B"/>
    <w:rsid w:val="005A41C9"/>
    <w:rsid w:val="005B55B1"/>
    <w:rsid w:val="005C22E9"/>
    <w:rsid w:val="005C763A"/>
    <w:rsid w:val="005D7737"/>
    <w:rsid w:val="005E1870"/>
    <w:rsid w:val="005E24FE"/>
    <w:rsid w:val="00607E67"/>
    <w:rsid w:val="00614CFC"/>
    <w:rsid w:val="00615731"/>
    <w:rsid w:val="00621A23"/>
    <w:rsid w:val="0063187A"/>
    <w:rsid w:val="006328E3"/>
    <w:rsid w:val="00636541"/>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55D55"/>
    <w:rsid w:val="00763918"/>
    <w:rsid w:val="007A4671"/>
    <w:rsid w:val="007F2D7D"/>
    <w:rsid w:val="00800943"/>
    <w:rsid w:val="00804698"/>
    <w:rsid w:val="008074AB"/>
    <w:rsid w:val="008119D8"/>
    <w:rsid w:val="008155F2"/>
    <w:rsid w:val="00833E2A"/>
    <w:rsid w:val="00840ACE"/>
    <w:rsid w:val="008448DA"/>
    <w:rsid w:val="00850D58"/>
    <w:rsid w:val="00851CE4"/>
    <w:rsid w:val="008552DA"/>
    <w:rsid w:val="00855BC8"/>
    <w:rsid w:val="008730D4"/>
    <w:rsid w:val="00882771"/>
    <w:rsid w:val="00886D1C"/>
    <w:rsid w:val="0088754F"/>
    <w:rsid w:val="008908CA"/>
    <w:rsid w:val="008920C2"/>
    <w:rsid w:val="008A15BE"/>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5935"/>
    <w:rsid w:val="009870B1"/>
    <w:rsid w:val="009B248D"/>
    <w:rsid w:val="009C2E16"/>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B7858"/>
    <w:rsid w:val="00AC358B"/>
    <w:rsid w:val="00AC764E"/>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E0000"/>
    <w:rsid w:val="00BF122D"/>
    <w:rsid w:val="00BF23E7"/>
    <w:rsid w:val="00BF62BC"/>
    <w:rsid w:val="00C0263A"/>
    <w:rsid w:val="00C053B5"/>
    <w:rsid w:val="00C0689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958B5"/>
    <w:rsid w:val="00DA2F9F"/>
    <w:rsid w:val="00DB19D6"/>
    <w:rsid w:val="00DB2885"/>
    <w:rsid w:val="00DB421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0887527">
      <w:bodyDiv w:val="1"/>
      <w:marLeft w:val="0"/>
      <w:marRight w:val="0"/>
      <w:marTop w:val="0"/>
      <w:marBottom w:val="0"/>
      <w:divBdr>
        <w:top w:val="none" w:sz="0" w:space="0" w:color="auto"/>
        <w:left w:val="none" w:sz="0" w:space="0" w:color="auto"/>
        <w:bottom w:val="none" w:sz="0" w:space="0" w:color="auto"/>
        <w:right w:val="none" w:sz="0" w:space="0" w:color="auto"/>
      </w:divBdr>
    </w:div>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 w:id="2003118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285</Words>
  <Characters>1626</Characters>
  <Application>Microsoft Office Word</Application>
  <DocSecurity>0</DocSecurity>
  <Lines>13</Lines>
  <Paragraphs>3</Paragraphs>
  <ScaleCrop>false</ScaleCrop>
  <Company>Sky123.Org</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2025-03-25T02:41:00Z</cp:lastPrinted>
  <dcterms:created xsi:type="dcterms:W3CDTF">2025-04-03T08:23:00Z</dcterms:created>
  <dcterms:modified xsi:type="dcterms:W3CDTF">2025-04-03T08:24:00Z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