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pStyle w:val="3"/>
        <w:jc w:val="center"/>
        <w:rPr>
          <w:rFonts w:hint="eastAsia" w:ascii="仿宋_GB2312" w:hAnsi="仿宋_GB2312" w:eastAsia="方正小标宋简体" w:cs="仿宋_GB2312"/>
          <w:b w:val="0"/>
          <w:kern w:val="2"/>
          <w:sz w:val="32"/>
          <w:szCs w:val="32"/>
        </w:rPr>
      </w:pPr>
      <w:bookmarkStart w:id="0" w:name="OLE_LINK10"/>
      <w:bookmarkStart w:id="2" w:name="_GoBack"/>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42"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项目名称：行政后勤及移动办公运营平台（OA系统）开发维护服务项目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2024 年</w:t>
            </w:r>
            <w:r>
              <w:rPr>
                <w:rFonts w:hint="eastAsia" w:ascii="仿宋_GB2312" w:hAnsi="仿宋_GB2312" w:eastAsia="仿宋_GB2312" w:cs="仿宋_GB2312"/>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23</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31</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pPr>
              <w:widowControl/>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 xml:space="preserve"> 年</w:t>
            </w:r>
            <w:r>
              <w:rPr>
                <w:rFonts w:hint="eastAsia" w:ascii="仿宋_GB2312" w:hAnsi="仿宋_GB2312" w:eastAsia="仿宋_GB2312" w:cs="仿宋_GB2312"/>
                <w:color w:val="000000"/>
                <w:kern w:val="0"/>
                <w:sz w:val="32"/>
                <w:szCs w:val="32"/>
                <w:u w:val="single"/>
                <w:lang w:val="en-US" w:eastAsia="zh-CN"/>
              </w:rPr>
              <w:t>1</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6</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郭工、</w:t>
      </w:r>
      <w:r>
        <w:rPr>
          <w:rFonts w:hint="eastAsia" w:ascii="仿宋_GB2312" w:hAnsi="仿宋_GB2312" w:eastAsia="仿宋_GB2312" w:cs="仿宋_GB2312"/>
          <w:bCs/>
          <w:color w:val="000000"/>
          <w:kern w:val="0"/>
          <w:sz w:val="32"/>
          <w:szCs w:val="32"/>
          <w:shd w:val="clear" w:color="auto" w:fill="FFFFFF"/>
        </w:rPr>
        <w:t>金工</w:t>
      </w:r>
    </w:p>
    <w:p>
      <w:pPr>
        <w:pStyle w:val="2"/>
        <w:rPr>
          <w:rFonts w:ascii="仿宋_GB2312" w:hAnsi="仿宋_GB2312" w:cs="仿宋_GB2312"/>
          <w:sz w:val="32"/>
          <w:szCs w:val="32"/>
        </w:rPr>
      </w:pPr>
      <w:bookmarkStart w:id="1" w:name="OLE_LINK9"/>
    </w:p>
    <w:p>
      <w:pPr>
        <w:widowControl/>
        <w:shd w:val="clear" w:color="auto" w:fill="FFFFFF"/>
        <w:adjustRightInd w:val="0"/>
        <w:snapToGrid w:val="0"/>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Spec="center" w:tblpY="283"/>
        <w:tblOverlap w:val="never"/>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4821"/>
        <w:gridCol w:w="1255"/>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216" w:type="dxa"/>
            <w:vAlign w:val="center"/>
          </w:tcPr>
          <w:p>
            <w:pPr>
              <w:widowControl/>
              <w:spacing w:afterLines="50"/>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4821"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255"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714" w:type="dxa"/>
            <w:vAlign w:val="center"/>
          </w:tcPr>
          <w:p>
            <w:pPr>
              <w:widowControl/>
              <w:spacing w:afterLines="50"/>
              <w:jc w:val="center"/>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exact"/>
          <w:jc w:val="center"/>
        </w:trPr>
        <w:tc>
          <w:tcPr>
            <w:tcW w:w="1216" w:type="dxa"/>
            <w:vAlign w:val="center"/>
          </w:tcPr>
          <w:p>
            <w:pPr>
              <w:widowControl/>
              <w:spacing w:afterLines="50"/>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4821" w:type="dxa"/>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 w:hAnsi="仿宋" w:eastAsia="仿宋" w:cs="仿宋_GB2312"/>
                <w:kern w:val="0"/>
                <w:sz w:val="28"/>
                <w:szCs w:val="28"/>
              </w:rPr>
            </w:pPr>
            <w:r>
              <w:rPr>
                <w:rFonts w:hint="eastAsia" w:ascii="仿宋_GB2312" w:hAnsi="仿宋_GB2312" w:eastAsia="仿宋_GB2312" w:cs="仿宋_GB2312"/>
                <w:color w:val="000000"/>
                <w:kern w:val="0"/>
                <w:sz w:val="32"/>
                <w:szCs w:val="32"/>
              </w:rPr>
              <w:t>行政后勤及移动办公运营平台（OA系统）开发维护服务项目</w:t>
            </w:r>
          </w:p>
        </w:tc>
        <w:tc>
          <w:tcPr>
            <w:tcW w:w="1255" w:type="dxa"/>
            <w:vAlign w:val="center"/>
          </w:tcPr>
          <w:p>
            <w:pPr>
              <w:autoSpaceDN w:val="0"/>
              <w:jc w:val="center"/>
              <w:textAlignment w:val="center"/>
              <w:rPr>
                <w:rFonts w:hint="eastAsia" w:ascii="仿宋" w:hAnsi="仿宋" w:eastAsia="仿宋" w:cs="仿宋_GB2312"/>
                <w:kern w:val="0"/>
                <w:sz w:val="28"/>
                <w:szCs w:val="28"/>
              </w:rPr>
            </w:pPr>
            <w:r>
              <w:rPr>
                <w:rFonts w:hint="eastAsia" w:ascii="仿宋" w:hAnsi="仿宋" w:eastAsia="仿宋" w:cs="仿宋_GB2312"/>
                <w:kern w:val="0"/>
                <w:sz w:val="28"/>
                <w:szCs w:val="28"/>
              </w:rPr>
              <w:t>1</w:t>
            </w:r>
          </w:p>
        </w:tc>
        <w:tc>
          <w:tcPr>
            <w:tcW w:w="1714" w:type="dxa"/>
            <w:vAlign w:val="center"/>
          </w:tcPr>
          <w:p>
            <w:pPr>
              <w:rPr>
                <w:rFonts w:hint="eastAsia" w:ascii="仿宋" w:hAnsi="仿宋" w:eastAsia="仿宋" w:cs="仿宋_GB2312"/>
                <w:kern w:val="0"/>
                <w:sz w:val="28"/>
                <w:szCs w:val="28"/>
                <w:lang w:eastAsia="zh-CN"/>
              </w:rPr>
            </w:pPr>
            <w:r>
              <w:rPr>
                <w:rFonts w:hint="eastAsia" w:ascii="仿宋" w:hAnsi="仿宋" w:eastAsia="仿宋" w:cs="仿宋_GB2312"/>
                <w:color w:val="000000"/>
                <w:sz w:val="28"/>
                <w:szCs w:val="28"/>
                <w:lang w:val="en-US" w:eastAsia="zh-CN"/>
              </w:rPr>
              <w:t>28</w:t>
            </w:r>
          </w:p>
        </w:tc>
      </w:tr>
    </w:tbl>
    <w:p>
      <w:pPr>
        <w:keepNext/>
        <w:widowControl/>
        <w:shd w:val="clear" w:color="auto" w:fill="FFFFFF"/>
        <w:autoSpaceDE w:val="0"/>
        <w:spacing w:before="120" w:after="120"/>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wordWrap/>
        <w:snapToGrid/>
        <w:spacing w:before="0" w:after="0" w:line="400" w:lineRule="exact"/>
        <w:ind w:left="0" w:leftChars="0" w:right="0" w:firstLine="0" w:firstLineChars="0"/>
        <w:outlineLvl w:val="9"/>
        <w:rPr>
          <w:rFonts w:ascii="仿宋_GB2312" w:hAnsi="仿宋_GB2312" w:cs="仿宋_GB2312"/>
          <w:sz w:val="32"/>
          <w:szCs w:val="32"/>
        </w:rPr>
      </w:pPr>
      <w:r>
        <w:rPr>
          <w:rFonts w:hint="eastAsia" w:ascii="仿宋_GB2312" w:hAnsi="仿宋_GB2312" w:cs="仿宋_GB2312"/>
          <w:sz w:val="32"/>
          <w:szCs w:val="32"/>
        </w:rPr>
        <w:t>1、合同包（一）</w:t>
      </w:r>
    </w:p>
    <w:tbl>
      <w:tblPr>
        <w:tblW w:w="9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70"/>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7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6992"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7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服务范围</w:t>
            </w:r>
          </w:p>
        </w:tc>
        <w:tc>
          <w:tcPr>
            <w:tcW w:w="6992"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对</w:t>
            </w:r>
            <w:r>
              <w:rPr>
                <w:rFonts w:hint="eastAsia" w:ascii="仿宋_GB2312" w:hAnsi="仿宋_GB2312" w:eastAsia="仿宋_GB2312" w:cs="仿宋_GB2312"/>
                <w:color w:val="000000"/>
                <w:kern w:val="0"/>
                <w:sz w:val="28"/>
                <w:szCs w:val="28"/>
                <w:lang w:val="en-US" w:eastAsia="zh-CN"/>
              </w:rPr>
              <w:t>致远8.0版本的</w:t>
            </w:r>
            <w:r>
              <w:rPr>
                <w:rFonts w:hint="eastAsia" w:ascii="仿宋_GB2312" w:hAnsi="仿宋_GB2312" w:eastAsia="仿宋_GB2312" w:cs="仿宋_GB2312"/>
                <w:color w:val="000000"/>
                <w:kern w:val="0"/>
                <w:sz w:val="28"/>
                <w:szCs w:val="28"/>
              </w:rPr>
              <w:t>行政后勤及移动办公运营平台(0A系统)进行年度运行维护和优化，确保系统软件正常使用。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工作文档</w:t>
            </w:r>
          </w:p>
        </w:tc>
        <w:tc>
          <w:tcPr>
            <w:tcW w:w="6992"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维护</w:t>
            </w:r>
            <w:r>
              <w:rPr>
                <w:rFonts w:hint="eastAsia" w:ascii="仿宋_GB2312" w:hAnsi="仿宋_GB2312" w:eastAsia="仿宋_GB2312" w:cs="仿宋_GB2312"/>
                <w:color w:val="000000"/>
                <w:kern w:val="0"/>
                <w:sz w:val="28"/>
                <w:szCs w:val="28"/>
              </w:rPr>
              <w:t>行政后勤及移动办公运营平台</w:t>
            </w:r>
            <w:r>
              <w:rPr>
                <w:rFonts w:hint="eastAsia" w:ascii="仿宋_GB2312" w:hAnsi="仿宋_GB2312" w:eastAsia="仿宋_GB2312" w:cs="仿宋_GB2312"/>
                <w:sz w:val="28"/>
                <w:szCs w:val="28"/>
              </w:rPr>
              <w:t>的相关文档，包括用户手册、操作指南、问题解决方案等。定期更新文档内容，保持其时效性和准确性。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2"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一般例行</w:t>
            </w:r>
            <w:r>
              <w:rPr>
                <w:rFonts w:hint="eastAsia" w:ascii="仿宋_GB2312" w:hAnsi="仿宋_GB2312" w:eastAsia="仿宋_GB2312" w:cs="仿宋_GB2312"/>
                <w:color w:val="000000"/>
                <w:kern w:val="0"/>
                <w:sz w:val="28"/>
                <w:szCs w:val="28"/>
                <w:lang w:val="en-US" w:eastAsia="zh-CN"/>
              </w:rPr>
              <w:t>优化</w:t>
            </w:r>
          </w:p>
        </w:tc>
        <w:tc>
          <w:tcPr>
            <w:tcW w:w="6992" w:type="dxa"/>
            <w:vAlign w:val="center"/>
          </w:tcPr>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现有功能优化或指导优化、业务流程优化等；</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系统功能的完善，包括操作界面方便快捷，实用性的优化；</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系统报表格式、统计条件、统计，数据来源的优化；</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因网络系统软件出错或操作该软件的失误，造成数据丢失混乱，协助院方进行恢复。</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定期清理、维护系统，保证系统正常运行。</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业务科室提交的新需求，包括程序bug，均进行需求分析，解决方案论证通过后，进行需求统一管理。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8"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系统故障服务</w:t>
            </w:r>
          </w:p>
        </w:tc>
        <w:tc>
          <w:tcPr>
            <w:tcW w:w="6992" w:type="dxa"/>
            <w:vAlign w:val="center"/>
          </w:tcPr>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程序潜在错误的改正；系统BUG修复；</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由于程序修改或增加功能,应用的实现所引起错误的改正；</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用户使用系统过程中，由于错误操作而引起的、但通过系统无法挽回的，并且又必须修正的数据，按相关规定提出申请，并经过相关人员批准后，将错误数据纠正；</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配合医院进行系统相关硬件的维护与故障排除，维持系统的正常运行；</w:t>
            </w:r>
          </w:p>
          <w:p>
            <w:pPr>
              <w:pStyle w:val="9"/>
              <w:widowControl/>
              <w:pBdr>
                <w:top w:val="none" w:color="auto" w:sz="0" w:space="0"/>
                <w:left w:val="none" w:color="auto" w:sz="0" w:space="0"/>
                <w:bottom w:val="none" w:color="auto" w:sz="0" w:space="0"/>
                <w:right w:val="none" w:color="auto" w:sz="0" w:space="0"/>
              </w:pBdr>
              <w:wordWrap/>
              <w:snapToGrid/>
              <w:spacing w:before="0" w:beforeAutospacing="0" w:after="0" w:afterAutospacing="0" w:line="400" w:lineRule="exact"/>
              <w:ind w:left="0" w:leftChars="0" w:right="0" w:firstLine="0" w:firstLineChars="0"/>
              <w:jc w:val="both"/>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bidi="ar-SA"/>
              </w:rPr>
              <w:t>操作失误，数据错误等引发的问题，可电话或远程由工程师直接处理，并按要求记录备案。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功能拓展需求</w:t>
            </w:r>
          </w:p>
        </w:tc>
        <w:tc>
          <w:tcPr>
            <w:tcW w:w="6992"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功能描述：具备车辆管理、考勤管理、HR人员信息管理；功能拓展：请假及借调申请：支持，人员信息身份校验：支持，短信提示：支持，Cap4签名功能：支持，多维度筛选查询：支持，OFD文档兼容：支持，离职人员账号处理：支持，公告防复制技术：支持，安全域名限制：支持，会议弹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维护资质</w:t>
            </w:r>
          </w:p>
        </w:tc>
        <w:tc>
          <w:tcPr>
            <w:tcW w:w="6992"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投标人作为专业的软件维护服务供应商，必须拥有致远厂商的正式授权，确保提供的服务合法且专业。投标人维护服务</w:t>
            </w:r>
            <w:r>
              <w:rPr>
                <w:rFonts w:hint="eastAsia" w:ascii="仿宋_GB2312" w:hAnsi="仿宋_GB2312" w:eastAsia="仿宋_GB2312" w:cs="仿宋_GB2312"/>
                <w:sz w:val="28"/>
                <w:szCs w:val="28"/>
              </w:rPr>
              <w:t>软件工程师必须具备为招标人进行软件维护的能力与经验，要求服务的工程师至少一名，经验丰富，可以及时处理应用中各种问题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color w:val="000000"/>
                <w:kern w:val="0"/>
                <w:sz w:val="28"/>
                <w:szCs w:val="28"/>
              </w:rPr>
              <w:t>负责</w:t>
            </w:r>
            <w:r>
              <w:rPr>
                <w:rFonts w:hint="eastAsia" w:ascii="仿宋_GB2312" w:hAnsi="仿宋_GB2312" w:eastAsia="仿宋_GB2312" w:cs="仿宋_GB2312"/>
                <w:color w:val="000000"/>
                <w:kern w:val="0"/>
                <w:sz w:val="28"/>
                <w:szCs w:val="28"/>
                <w:lang w:val="en-US" w:eastAsia="zh-CN"/>
              </w:rPr>
              <w:t>系统</w:t>
            </w:r>
            <w:r>
              <w:rPr>
                <w:rFonts w:hint="eastAsia" w:ascii="仿宋_GB2312" w:hAnsi="仿宋_GB2312" w:eastAsia="仿宋_GB2312" w:cs="仿宋_GB2312"/>
                <w:color w:val="000000"/>
                <w:kern w:val="0"/>
                <w:sz w:val="28"/>
                <w:szCs w:val="28"/>
              </w:rPr>
              <w:t>的培训与指导；提供科室使用人员操作培训；</w:t>
            </w:r>
          </w:p>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对医院系统维护人员进行系统故障处理培训，常规问题解决培训，使维护人员在遇到系统故障时能第一时间解决。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现场</w:t>
            </w:r>
            <w:r>
              <w:rPr>
                <w:rFonts w:hint="eastAsia" w:ascii="仿宋_GB2312" w:hAnsi="仿宋_GB2312" w:eastAsia="仿宋_GB2312" w:cs="仿宋_GB2312"/>
                <w:color w:val="000000"/>
                <w:kern w:val="0"/>
                <w:sz w:val="28"/>
                <w:szCs w:val="28"/>
                <w:lang w:val="en-US" w:eastAsia="zh-CN"/>
              </w:rPr>
              <w:t>维护</w:t>
            </w:r>
            <w:r>
              <w:rPr>
                <w:rFonts w:hint="eastAsia" w:ascii="仿宋_GB2312" w:hAnsi="仿宋_GB2312" w:eastAsia="仿宋_GB2312" w:cs="仿宋_GB2312"/>
                <w:color w:val="000000"/>
                <w:kern w:val="0"/>
                <w:sz w:val="28"/>
                <w:szCs w:val="28"/>
              </w:rPr>
              <w:t>服务</w:t>
            </w:r>
          </w:p>
        </w:tc>
        <w:tc>
          <w:tcPr>
            <w:tcW w:w="6992"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sz w:val="28"/>
                <w:szCs w:val="28"/>
              </w:rPr>
              <w:t>提供不间断的服务支持，包括工作日、节假日及非工作时间内的紧急响应。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470"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技术支持</w:t>
            </w:r>
          </w:p>
        </w:tc>
        <w:tc>
          <w:tcPr>
            <w:tcW w:w="6992" w:type="dxa"/>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提供7*24小时电话</w:t>
            </w:r>
            <w:r>
              <w:rPr>
                <w:rFonts w:hint="eastAsia" w:ascii="仿宋_GB2312" w:hAnsi="仿宋_GB2312" w:eastAsia="仿宋_GB2312" w:cs="仿宋_GB2312"/>
                <w:sz w:val="28"/>
                <w:szCs w:val="28"/>
                <w:lang w:val="en-US" w:eastAsia="zh-CN"/>
              </w:rPr>
              <w:t>或远程</w:t>
            </w:r>
            <w:r>
              <w:rPr>
                <w:rFonts w:hint="eastAsia" w:ascii="仿宋_GB2312" w:hAnsi="仿宋_GB2312" w:eastAsia="仿宋_GB2312" w:cs="仿宋_GB2312"/>
                <w:sz w:val="28"/>
                <w:szCs w:val="28"/>
              </w:rPr>
              <w:t>技术支持，365天服务。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trPr>
        <w:tc>
          <w:tcPr>
            <w:tcW w:w="820" w:type="dxa"/>
            <w:vMerge w:val="restart"/>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470" w:type="dxa"/>
            <w:vMerge w:val="restart"/>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响应方式及响应时限</w:t>
            </w: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快速响应：承诺在接收到问题报告后，于约定时间内（2小时内）给予初步反馈，并在最短时间内（如24小时内，具体根据问题复杂程度确定）提供解决方案或实施修复。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trPr>
        <w:tc>
          <w:tcPr>
            <w:tcW w:w="82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p>
        </w:tc>
        <w:tc>
          <w:tcPr>
            <w:tcW w:w="1470" w:type="dxa"/>
            <w:vMerge w:val="continue"/>
            <w:vAlign w:val="center"/>
          </w:tcPr>
          <w:p>
            <w:pPr>
              <w:wordWrap/>
              <w:snapToGrid/>
              <w:spacing w:before="0" w:after="0" w:line="400" w:lineRule="exact"/>
              <w:ind w:left="0" w:leftChars="0" w:right="0" w:firstLine="0" w:firstLineChars="0"/>
              <w:outlineLvl w:val="9"/>
              <w:rPr>
                <w:rFonts w:hint="eastAsia" w:ascii="仿宋_GB2312" w:hAnsi="仿宋_GB2312" w:eastAsia="仿宋_GB2312" w:cs="仿宋_GB2312"/>
                <w:color w:val="000000"/>
                <w:kern w:val="0"/>
                <w:sz w:val="28"/>
                <w:szCs w:val="28"/>
                <w:lang w:val="en-US" w:eastAsia="zh-CN"/>
              </w:rPr>
            </w:pP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紧急响应：对于严重影响业务运行或数据安全的紧急情况，立即启动紧急响应流程，确保问题得到迅速处理。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exact"/>
        </w:trPr>
        <w:tc>
          <w:tcPr>
            <w:tcW w:w="820" w:type="dxa"/>
            <w:vMerge w:val="restart"/>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470" w:type="dxa"/>
            <w:vMerge w:val="restart"/>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安全性</w:t>
            </w: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sz w:val="28"/>
                <w:szCs w:val="28"/>
              </w:rPr>
              <w:t>投标人到招标人现场服务的工程师必须保证自带的笔记本电脑安全，没有携带病毒、木马等破坏性程序,由招标人工程师确认安全后才可接入网络，投标人工程师必须遵守招标人数据保密协定，并且承担由于投标人工程师本身原因造成数据泄露的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trPr>
        <w:tc>
          <w:tcPr>
            <w:tcW w:w="82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p>
        </w:tc>
        <w:tc>
          <w:tcPr>
            <w:tcW w:w="147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确保平台的数据存储、传输过程符合行业安全标准，采取加密、备份等措施保护数据不被泄露、篡改或丢失。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exact"/>
        </w:trPr>
        <w:tc>
          <w:tcPr>
            <w:tcW w:w="82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p>
        </w:tc>
        <w:tc>
          <w:tcPr>
            <w:tcW w:w="147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定期进行系统安全漏洞扫描与修复，防范病毒、黑客攻击等安全威胁。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exact"/>
        </w:trPr>
        <w:tc>
          <w:tcPr>
            <w:tcW w:w="82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rPr>
            </w:pPr>
          </w:p>
        </w:tc>
        <w:tc>
          <w:tcPr>
            <w:tcW w:w="1470" w:type="dxa"/>
            <w:vMerge w:val="continue"/>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建立完善的用户权限管理体系，确保不同用户根据其角色拥有适当的访问和操作权限。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82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470" w:type="dxa"/>
            <w:vAlign w:val="center"/>
          </w:tcPr>
          <w:p>
            <w:pPr>
              <w:wordWrap/>
              <w:snapToGrid/>
              <w:spacing w:before="0" w:after="0" w:line="400" w:lineRule="exact"/>
              <w:ind w:left="0" w:leftChars="0" w:right="0" w:firstLine="0" w:firstLineChars="0"/>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软件运行维护期限</w:t>
            </w:r>
          </w:p>
        </w:tc>
        <w:tc>
          <w:tcPr>
            <w:tcW w:w="6992" w:type="dxa"/>
            <w:vAlign w:val="center"/>
          </w:tcPr>
          <w:p>
            <w:pPr>
              <w:wordWrap/>
              <w:snapToGrid/>
              <w:spacing w:before="0" w:after="0" w:line="400" w:lineRule="exact"/>
              <w:ind w:left="0" w:leftChars="0" w:right="0" w:firstLine="0" w:firstLineChars="0"/>
              <w:jc w:val="left"/>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合同签订之日起一年</w:t>
            </w:r>
          </w:p>
        </w:tc>
      </w:tr>
      <w:bookmarkEnd w:id="1"/>
    </w:tbl>
    <w:p>
      <w:pPr>
        <w:wordWrap/>
        <w:snapToGrid/>
        <w:spacing w:before="0" w:after="0" w:line="400" w:lineRule="exact"/>
        <w:ind w:left="0" w:leftChars="0" w:right="0" w:firstLine="0" w:firstLineChars="0"/>
        <w:outlineLvl w:val="9"/>
        <w:rPr>
          <w:rFonts w:ascii="仿宋_GB2312" w:hAnsi="仿宋_GB2312" w:eastAsia="仿宋_GB2312" w:cs="仿宋_GB2312"/>
          <w:b/>
          <w:bCs/>
          <w:sz w:val="32"/>
          <w:szCs w:val="32"/>
        </w:rPr>
      </w:pPr>
    </w:p>
    <w:p>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4"/>
        <w:widowControl/>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1、应结合我院实际医疗及管理需要，对系统进行客户化修改，包括但不限于结合医院实际管理需求；同时不得使用主管部门禁止使用的操作系统及数据库。</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三年内免费实施政策性国家、省市各平台的数据接口、数据上传等服务及免费实施国密改造、国产化</w:t>
      </w:r>
      <w:r>
        <w:rPr>
          <w:rFonts w:hint="eastAsia" w:ascii="仿宋_GB2312" w:hAnsi="仿宋_GB2312" w:eastAsia="仿宋_GB2312" w:cs="仿宋_GB2312"/>
          <w:sz w:val="32"/>
          <w:szCs w:val="32"/>
          <w:lang w:val="en-US" w:eastAsia="zh-CN"/>
        </w:rPr>
        <w:t>改造</w:t>
      </w:r>
      <w:r>
        <w:rPr>
          <w:rFonts w:hint="eastAsia" w:ascii="仿宋_GB2312" w:hAnsi="仿宋_GB2312" w:eastAsia="仿宋_GB2312" w:cs="仿宋_GB2312"/>
          <w:sz w:val="32"/>
          <w:szCs w:val="32"/>
        </w:rPr>
        <w:t>，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14"/>
        <w:widowControl/>
        <w:numPr>
          <w:ilvl w:val="0"/>
          <w:numId w:val="2"/>
        </w:numPr>
        <w:wordWrap/>
        <w:adjustRightInd/>
        <w:snapToGrid/>
        <w:spacing w:before="0" w:beforeAutospacing="0" w:after="0" w:afterAutospacing="0" w:line="59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由于本项目与诊疗无关，必须支持国产化操作系统、数据库及前端国产化工作站，暂时未能实现的，后续政策要求时不再另行收费，并在投标文件中出具承诺函。</w:t>
      </w:r>
    </w:p>
    <w:p>
      <w:pPr>
        <w:pStyle w:val="2"/>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wordWrap/>
        <w:autoSpaceDN w:val="0"/>
        <w:snapToGrid/>
        <w:spacing w:before="0" w:after="0" w:line="590" w:lineRule="exact"/>
        <w:ind w:left="0" w:leftChars="0" w:right="0" w:firstLine="640" w:firstLineChars="200"/>
        <w:jc w:val="both"/>
        <w:outlineLvl w:val="9"/>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wordWrap/>
        <w:snapToGrid/>
        <w:spacing w:before="0" w:after="0" w:line="590" w:lineRule="exact"/>
        <w:ind w:left="0" w:leftChars="0" w:right="0" w:firstLine="640" w:firstLineChars="200"/>
        <w:jc w:val="both"/>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wordWrap/>
        <w:snapToGrid/>
        <w:spacing w:before="0" w:after="0" w:line="590" w:lineRule="exact"/>
        <w:ind w:left="0" w:leftChars="0" w:right="0" w:firstLine="640" w:firstLineChars="200"/>
        <w:jc w:val="both"/>
        <w:outlineLvl w:val="9"/>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90" w:lineRule="exact"/>
        <w:ind w:left="0" w:leftChars="0" w:right="0" w:firstLine="640" w:firstLineChars="200"/>
        <w:jc w:val="both"/>
        <w:outlineLvl w:val="9"/>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wordWrap/>
        <w:snapToGrid/>
        <w:spacing w:before="0" w:after="0" w:line="590" w:lineRule="exact"/>
        <w:ind w:left="0" w:leftChars="0" w:right="0" w:firstLine="640" w:firstLineChars="200"/>
        <w:jc w:val="both"/>
        <w:outlineLvl w:val="9"/>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2"/>
        <w:wordWrap/>
        <w:snapToGrid/>
        <w:spacing w:before="0" w:after="0" w:line="590" w:lineRule="exact"/>
        <w:ind w:left="0" w:leftChars="0" w:right="0" w:firstLine="640" w:firstLineChars="200"/>
        <w:jc w:val="both"/>
        <w:outlineLvl w:val="9"/>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wordWrap/>
        <w:snapToGrid/>
        <w:spacing w:before="0" w:after="0" w:line="590" w:lineRule="exact"/>
        <w:ind w:left="0" w:leftChars="0" w:right="0" w:firstLine="640" w:firstLineChars="200"/>
        <w:jc w:val="both"/>
        <w:outlineLvl w:val="9"/>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wordWrap/>
        <w:snapToGrid/>
        <w:spacing w:before="0" w:after="0" w:line="590" w:lineRule="exact"/>
        <w:ind w:left="0" w:leftChars="0" w:right="0" w:firstLine="640" w:firstLineChars="200"/>
        <w:jc w:val="both"/>
        <w:outlineLvl w:val="9"/>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ind w:firstLine="608" w:firstLineChars="200"/>
        <w:rPr>
          <w:rFonts w:ascii="仿宋_GB2312" w:hAnsi="仿宋_GB2312" w:cs="仿宋_GB2312"/>
          <w:color w:val="000000"/>
          <w:spacing w:val="-8"/>
          <w:kern w:val="0"/>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color w:val="000000"/>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95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070"/>
        <w:gridCol w:w="5973"/>
        <w:gridCol w:w="859"/>
        <w:gridCol w:w="161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07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5973"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859"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161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074" w:hRule="exact"/>
        </w:trPr>
        <w:tc>
          <w:tcPr>
            <w:tcW w:w="107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5973"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c>
          <w:tcPr>
            <w:tcW w:w="859"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c>
          <w:tcPr>
            <w:tcW w:w="161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联系人：</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2"/>
        <w:rPr>
          <w:rFonts w:ascii="仿宋_GB2312" w:hAnsi="仿宋_GB2312" w:cs="仿宋_GB2312"/>
          <w:bCs/>
          <w:sz w:val="32"/>
          <w:szCs w:val="32"/>
          <w:shd w:val="clear" w:color="auto" w:fill="FFFFFF"/>
        </w:rPr>
      </w:pPr>
    </w:p>
    <w:p>
      <w:pPr>
        <w:pStyle w:val="2"/>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rPr>
          <w:rFonts w:ascii="仿宋_GB2312" w:hAnsi="仿宋_GB2312" w:cs="仿宋_GB2312"/>
          <w:sz w:val="32"/>
          <w:szCs w:val="32"/>
        </w:rPr>
      </w:pPr>
      <w:r>
        <w:rPr>
          <w:rFonts w:hint="eastAsia" w:ascii="仿宋_GB2312" w:hAnsi="仿宋_GB2312" w:cs="仿宋_GB2312"/>
          <w:sz w:val="32"/>
          <w:szCs w:val="32"/>
        </w:rPr>
        <w:t xml:space="preserve">                                           年  月  日</w:t>
      </w:r>
      <w:bookmarkEnd w:id="0"/>
    </w:p>
    <w:bookmarkEnd w:id="2"/>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left:221.15pt;margin-top:0pt;height:15.35pt;width:28.15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unhideWhenUsed/>
    <w:qFormat/>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uiPriority w:val="0"/>
    <w:pP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1">
    <w:name w:val="Strong"/>
    <w:qFormat/>
    <w:uiPriority w:val="0"/>
    <w:rPr>
      <w:b/>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修订1"/>
    <w:unhideWhenUsed/>
    <w:uiPriority w:val="99"/>
    <w:rPr>
      <w:rFonts w:ascii="Calibri" w:hAnsi="Calibri" w:eastAsia="宋体" w:cs="黑体"/>
      <w:kern w:val="2"/>
      <w:sz w:val="21"/>
      <w:szCs w:val="24"/>
      <w:lang w:val="en-US" w:eastAsia="zh-CN" w:bidi="ar-SA"/>
    </w:rPr>
  </w:style>
  <w:style w:type="character" w:customStyle="1" w:styleId="16">
    <w:name w:val="页眉 字符"/>
    <w:basedOn w:val="10"/>
    <w:link w:val="8"/>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3718</Words>
  <Characters>3950</Characters>
  <Lines>35</Lines>
  <Paragraphs>9</Paragraphs>
  <TotalTime>0</TotalTime>
  <ScaleCrop>false</ScaleCrop>
  <LinksUpToDate>false</LinksUpToDate>
  <CharactersWithSpaces>4070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2024-12-23T07:37:41Z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AE9DCA7D36614AE5B592D1DE04EEF918_13</vt:lpwstr>
  </property>
</Properties>
</file>