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福建省肿瘤医院采购需求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： 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数据机房集成运维服务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12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12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14:30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杜工、金工</w:t>
      </w: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pPr w:leftFromText="180" w:rightFromText="180" w:vertAnchor="text" w:horzAnchor="page" w:tblpX="1562" w:tblpY="283"/>
        <w:tblOverlap w:val="never"/>
        <w:tblW w:w="9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3892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3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3892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1983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一）</w:t>
            </w:r>
          </w:p>
        </w:tc>
        <w:tc>
          <w:tcPr>
            <w:tcW w:w="3892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数据机房集成运维服务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8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</w:tr>
    </w:tbl>
    <w:p>
      <w:pPr>
        <w:keepNext/>
        <w:widowControl/>
        <w:numPr>
          <w:numId w:val="0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0"/>
        <w:widowControl w:val="0"/>
        <w:numPr>
          <w:numId w:val="0"/>
        </w:numPr>
        <w:wordWrap/>
        <w:snapToGrid/>
        <w:spacing w:before="0" w:after="0" w:line="590" w:lineRule="exact"/>
        <w:ind w:right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现有数据中心机房3个，服务器约100台，存储15套，光纤存储交换机16台，安全设备20余台，核心区域交换机10余台，虚拟化管理平台4个，虚拟化服务器500余台，虚拟化存储容量约2PB。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人员安排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安排</w:t>
      </w:r>
      <w:r>
        <w:rPr>
          <w:rFonts w:hint="eastAsia"/>
          <w:sz w:val="28"/>
          <w:szCs w:val="28"/>
          <w:lang w:val="en-US" w:eastAsia="zh-CN"/>
        </w:rPr>
        <w:t>固定</w:t>
      </w:r>
      <w:r>
        <w:rPr>
          <w:sz w:val="28"/>
          <w:szCs w:val="28"/>
        </w:rPr>
        <w:t>驻场人员</w:t>
      </w:r>
      <w:r>
        <w:rPr>
          <w:rFonts w:hint="eastAsia"/>
          <w:sz w:val="28"/>
          <w:szCs w:val="28"/>
        </w:rPr>
        <w:t>1名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上下班时间跟医院保持一致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后台</w:t>
      </w:r>
      <w:r>
        <w:rPr>
          <w:rFonts w:hint="eastAsia"/>
          <w:sz w:val="28"/>
          <w:szCs w:val="28"/>
          <w:lang w:val="en-US" w:eastAsia="zh-CN"/>
        </w:rPr>
        <w:t>集成服务技术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4名以上。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工作内容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协助</w:t>
      </w:r>
      <w:r>
        <w:rPr>
          <w:sz w:val="28"/>
          <w:szCs w:val="28"/>
        </w:rPr>
        <w:t>实时监控数据中心的运行状态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及时发现和报告异常情况。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虚拟化平台运维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包括</w:t>
      </w:r>
      <w:r>
        <w:rPr>
          <w:sz w:val="28"/>
          <w:szCs w:val="28"/>
        </w:rPr>
        <w:t>虚拟化平台</w:t>
      </w:r>
      <w:r>
        <w:rPr>
          <w:rFonts w:hint="eastAsia"/>
          <w:sz w:val="28"/>
          <w:szCs w:val="28"/>
          <w:lang w:val="en-US" w:eastAsia="zh-CN"/>
        </w:rPr>
        <w:t>的安装、配置、</w:t>
      </w:r>
      <w:r>
        <w:rPr>
          <w:sz w:val="28"/>
          <w:szCs w:val="28"/>
        </w:rPr>
        <w:t>安全</w:t>
      </w:r>
      <w:r>
        <w:rPr>
          <w:rFonts w:hint="eastAsia"/>
          <w:sz w:val="28"/>
          <w:szCs w:val="28"/>
          <w:lang w:val="en-US" w:eastAsia="zh-CN"/>
        </w:rPr>
        <w:t>配置、</w:t>
      </w:r>
      <w:r>
        <w:rPr>
          <w:sz w:val="28"/>
          <w:szCs w:val="28"/>
        </w:rPr>
        <w:t>资源优化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故障排查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日志分析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灾难恢复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技术培训等；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硬件</w:t>
      </w:r>
      <w:r>
        <w:rPr>
          <w:rFonts w:hint="eastAsia"/>
          <w:sz w:val="28"/>
          <w:szCs w:val="28"/>
        </w:rPr>
        <w:t>设备</w:t>
      </w:r>
      <w:r>
        <w:rPr>
          <w:sz w:val="28"/>
          <w:szCs w:val="28"/>
        </w:rPr>
        <w:t>运维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包括服务器、存储、光纤存储交换机等硬件设备的安装、配置、高可靠</w:t>
      </w:r>
      <w:r>
        <w:rPr>
          <w:sz w:val="28"/>
          <w:szCs w:val="28"/>
        </w:rPr>
        <w:t>策略</w:t>
      </w:r>
      <w:r>
        <w:rPr>
          <w:rFonts w:hint="eastAsia"/>
          <w:sz w:val="28"/>
          <w:szCs w:val="28"/>
          <w:lang w:val="en-US" w:eastAsia="zh-CN"/>
        </w:rPr>
        <w:t>制定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硬件升级、巡检、技术培训等；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数据安全运维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包括灾备系统</w:t>
      </w:r>
      <w:r>
        <w:rPr>
          <w:sz w:val="28"/>
          <w:szCs w:val="28"/>
        </w:rPr>
        <w:t>策略制定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实施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演练</w:t>
      </w:r>
      <w:r>
        <w:rPr>
          <w:rFonts w:hint="eastAsia"/>
          <w:sz w:val="28"/>
          <w:szCs w:val="28"/>
          <w:lang w:val="en-US" w:eastAsia="zh-CN"/>
        </w:rPr>
        <w:t>、技术培训等；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数据库运维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包括</w:t>
      </w:r>
      <w:r>
        <w:rPr>
          <w:sz w:val="28"/>
          <w:szCs w:val="28"/>
        </w:rPr>
        <w:t>设计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安装、</w:t>
      </w:r>
      <w:r>
        <w:rPr>
          <w:sz w:val="28"/>
          <w:szCs w:val="28"/>
        </w:rPr>
        <w:t>实施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监控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安全管理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数据迁移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升级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优化、巡检、技术培训等。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操作系统运维：包括</w:t>
      </w:r>
      <w:r>
        <w:rPr>
          <w:sz w:val="28"/>
          <w:szCs w:val="28"/>
        </w:rPr>
        <w:t>实施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监控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安全管理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升级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优化、巡检、技术培训等。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提供国产化硬件以及国产化软件的技术支持</w:t>
      </w:r>
      <w:r>
        <w:rPr>
          <w:sz w:val="28"/>
          <w:szCs w:val="28"/>
        </w:rPr>
        <w:t>和培训。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协助完成各医院各评级要求</w:t>
      </w:r>
      <w:r>
        <w:rPr>
          <w:sz w:val="28"/>
          <w:szCs w:val="28"/>
        </w:rPr>
        <w:t>。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提供7*24小时</w:t>
      </w:r>
      <w:r>
        <w:rPr>
          <w:sz w:val="28"/>
          <w:szCs w:val="28"/>
        </w:rPr>
        <w:t>紧急故障</w:t>
      </w:r>
      <w:r>
        <w:rPr>
          <w:rFonts w:hint="eastAsia"/>
          <w:sz w:val="28"/>
          <w:szCs w:val="28"/>
          <w:lang w:val="en-US" w:eastAsia="zh-CN"/>
        </w:rPr>
        <w:t>处理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确保</w:t>
      </w: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sz w:val="28"/>
          <w:szCs w:val="28"/>
        </w:rPr>
        <w:t>系统的快速恢复和稳定运行。</w:t>
      </w:r>
    </w:p>
    <w:p>
      <w:pPr>
        <w:pStyle w:val="12"/>
        <w:widowControl w:val="0"/>
        <w:numPr>
          <w:ilvl w:val="2"/>
          <w:numId w:val="1"/>
        </w:numPr>
        <w:wordWrap/>
        <w:snapToGrid/>
        <w:spacing w:before="0" w:after="0" w:line="590" w:lineRule="exact"/>
        <w:ind w:left="1240" w:leftChars="0" w:right="0" w:hanging="360" w:firstLineChars="0"/>
        <w:jc w:val="both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驻场</w:t>
      </w:r>
      <w:r>
        <w:rPr>
          <w:sz w:val="28"/>
          <w:szCs w:val="28"/>
        </w:rPr>
        <w:t>运维</w:t>
      </w:r>
      <w:r>
        <w:rPr>
          <w:rFonts w:hint="eastAsia"/>
          <w:sz w:val="28"/>
          <w:szCs w:val="28"/>
          <w:lang w:val="en-US" w:eastAsia="zh-CN"/>
        </w:rPr>
        <w:t>人员按院方需求进行调换和</w:t>
      </w:r>
      <w:r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snapToGrid/>
        <w:spacing w:before="0" w:after="0" w:line="590" w:lineRule="exact"/>
        <w:ind w:right="0"/>
        <w:jc w:val="both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1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numId w:val="0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提供设备彩页、相关三证等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5、上述各参数将做为本项目招标的主要参数，不代表本项目公开招标的最终参数；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42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sectPr>
      <w:footerReference r:id="rId4" w:type="default"/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4383868">
    <w:nsid w:val="3B4517FC"/>
    <w:multiLevelType w:val="multilevel"/>
    <w:tmpl w:val="3B4517FC"/>
    <w:lvl w:ilvl="0" w:tentative="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1">
      <w:start w:val="1"/>
      <w:numFmt w:val="decimal"/>
      <w:lvlText w:val="%2."/>
      <w:lvlJc w:val="left"/>
      <w:pPr>
        <w:ind w:left="860" w:hanging="440"/>
      </w:pPr>
    </w:lvl>
    <w:lvl w:ilvl="2" w:tentative="1">
      <w:start w:val="1"/>
      <w:numFmt w:val="decimal"/>
      <w:lvlText w:val="%3."/>
      <w:lvlJc w:val="left"/>
      <w:pPr>
        <w:ind w:left="1240" w:hanging="36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994383868"/>
  </w:num>
  <w:num w:numId="2">
    <w:abstractNumId w:val="13980851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YwOWNhMWIwMTM5Y2VhMTQwZDE5YzA3MTI0ODg5N2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next w:val="5"/>
    <w:unhideWhenUsed/>
    <w:qFormat/>
    <w:uiPriority w:val="99"/>
    <w:rPr>
      <w:rFonts w:ascii="仿宋_GB2312" w:eastAsia="仿宋_GB2312"/>
      <w:sz w:val="32"/>
    </w:rPr>
  </w:style>
  <w:style w:type="paragraph" w:customStyle="1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1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1849</Words>
  <Characters>2122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Admin</cp:lastModifiedBy>
  <cp:lastPrinted>2023-06-20T07:45:00Z</cp:lastPrinted>
  <dcterms:modified xsi:type="dcterms:W3CDTF">2024-12-19T08:17:25Z</dcterms:modified>
  <dc:title>设备科：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CD1CBFDCF0B34D54A1323A555A4AB815_12</vt:lpwstr>
  </property>
</Properties>
</file>