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suppressAutoHyphens/>
        <w:spacing w:line="590" w:lineRule="exact"/>
        <w:jc w:val="center"/>
        <w:rPr>
          <w:rFonts w:hint="eastAsia" w:ascii="方正小标宋简体" w:eastAsia="方正小标宋简体"/>
          <w:b w:val="0"/>
          <w:kern w:val="2"/>
          <w:sz w:val="36"/>
          <w:szCs w:val="36"/>
        </w:rPr>
      </w:pPr>
      <w:r>
        <w:rPr>
          <w:rFonts w:hint="eastAsia" w:ascii="方正小标宋简体" w:hAnsi="Calibri" w:eastAsia="方正小标宋简体" w:cs="Times New Roman"/>
          <w:b w:val="0"/>
          <w:kern w:val="2"/>
          <w:sz w:val="36"/>
          <w:szCs w:val="36"/>
          <w:lang w:val="zh-CN" w:eastAsia="zh-CN" w:bidi="ar-SA"/>
        </w:rPr>
        <w:t>药物配置全流程管理</w:t>
      </w:r>
      <w:r>
        <w:rPr>
          <w:rFonts w:hint="eastAsia" w:ascii="方正小标宋简体" w:eastAsia="方正小标宋简体"/>
          <w:b w:val="0"/>
          <w:kern w:val="2"/>
          <w:sz w:val="36"/>
          <w:szCs w:val="36"/>
        </w:rPr>
        <w:t>系统项目</w:t>
      </w:r>
    </w:p>
    <w:p>
      <w:pPr>
        <w:widowControl w:val="0"/>
        <w:suppressAutoHyphens/>
        <w:spacing w:line="590" w:lineRule="exact"/>
        <w:jc w:val="center"/>
        <w:rPr>
          <w:rFonts w:ascii="方正小标宋简体" w:eastAsia="方正小标宋简体"/>
          <w:b w:val="0"/>
          <w:kern w:val="2"/>
          <w:sz w:val="36"/>
          <w:szCs w:val="36"/>
        </w:rPr>
      </w:pPr>
      <w:r>
        <w:rPr>
          <w:rFonts w:hint="eastAsia" w:ascii="方正小标宋简体" w:eastAsia="方正小标宋简体"/>
          <w:b w:val="0"/>
          <w:kern w:val="2"/>
          <w:sz w:val="36"/>
          <w:szCs w:val="36"/>
          <w:lang w:val="en-US" w:eastAsia="zh-CN"/>
        </w:rPr>
        <w:t>预算价</w:t>
      </w:r>
      <w:r>
        <w:rPr>
          <w:rFonts w:hint="eastAsia" w:ascii="方正小标宋简体" w:eastAsia="方正小标宋简体"/>
          <w:b w:val="0"/>
          <w:kern w:val="2"/>
          <w:sz w:val="36"/>
          <w:szCs w:val="36"/>
        </w:rPr>
        <w:t>调研公示</w:t>
      </w:r>
    </w:p>
    <w:p>
      <w:pPr>
        <w:widowControl/>
        <w:shd w:val="clear" w:color="auto" w:fill="FFFFFF"/>
        <w:spacing w:line="336" w:lineRule="auto"/>
        <w:jc w:val="center"/>
      </w:pPr>
      <w:r>
        <w:rPr>
          <w:rFonts w:hint="eastAsia" w:ascii="宋体" w:hAnsi="宋体" w:cs="宋体"/>
          <w:b/>
          <w:color w:val="000000"/>
          <w:kern w:val="0"/>
          <w:sz w:val="36"/>
          <w:szCs w:val="36"/>
          <w:shd w:val="clear" w:color="auto" w:fill="FFFFFF"/>
        </w:rPr>
        <w:t> </w:t>
      </w:r>
    </w:p>
    <w:p>
      <w:pPr>
        <w:widowControl/>
        <w:shd w:val="clear" w:color="auto" w:fill="FFFFFF"/>
        <w:spacing w:line="336" w:lineRule="auto"/>
        <w:jc w:val="center"/>
        <w:rPr>
          <w:rFonts w:ascii="仿宋" w:hAnsi="仿宋" w:eastAsia="仿宋" w:cs="仿宋"/>
        </w:rPr>
      </w:pPr>
      <w:r>
        <w:rPr>
          <w:rFonts w:hint="eastAsia" w:ascii="仿宋" w:hAnsi="仿宋" w:eastAsia="仿宋" w:cs="仿宋"/>
          <w:b/>
          <w:color w:val="000000"/>
          <w:kern w:val="0"/>
          <w:sz w:val="24"/>
          <w:shd w:val="clear" w:color="auto" w:fill="FFFFFF"/>
        </w:rPr>
        <w:t>第一部分 须知前附表</w:t>
      </w:r>
    </w:p>
    <w:p>
      <w:pPr>
        <w:widowControl/>
        <w:shd w:val="clear" w:color="auto" w:fill="FFFFFF"/>
        <w:spacing w:line="336" w:lineRule="auto"/>
      </w:pPr>
      <w:r>
        <w:rPr>
          <w:rFonts w:hint="eastAsia" w:ascii="宋体" w:hAnsi="宋体" w:cs="宋体"/>
          <w:b/>
          <w:color w:val="000000"/>
          <w:kern w:val="0"/>
          <w:sz w:val="24"/>
          <w:shd w:val="clear" w:color="auto" w:fill="FFFFFF"/>
        </w:rPr>
        <w:t> </w:t>
      </w:r>
    </w:p>
    <w:tbl>
      <w:tblPr>
        <w:tblW w:w="8745" w:type="dxa"/>
        <w:jc w:val="center"/>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49" w:hRule="atLeast"/>
          <w:jc w:val="center"/>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1"/>
              <w:widowControl/>
              <w:spacing w:line="360" w:lineRule="atLeast"/>
              <w:jc w:val="center"/>
              <w:rPr>
                <w:rFonts w:ascii="仿宋" w:hAnsi="仿宋" w:eastAsia="仿宋" w:cs="仿宋"/>
              </w:rPr>
            </w:pPr>
            <w:r>
              <w:rPr>
                <w:rFonts w:hint="eastAsia" w:ascii="仿宋" w:hAnsi="仿宋" w:eastAsia="仿宋" w:cs="仿宋"/>
                <w:b/>
                <w:color w:val="000000"/>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
              </w:rPr>
            </w:pPr>
            <w:r>
              <w:rPr>
                <w:rFonts w:hint="eastAsia" w:ascii="仿宋" w:hAnsi="仿宋" w:eastAsia="仿宋" w:cs="仿宋"/>
                <w:b/>
                <w:color w:val="000000"/>
                <w:kern w:val="0"/>
                <w:sz w:val="24"/>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444"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
              </w:rPr>
            </w:pPr>
            <w:r>
              <w:rPr>
                <w:rFonts w:hint="eastAsia" w:ascii="仿宋" w:hAnsi="仿宋" w:eastAsia="仿宋" w:cs="仿宋"/>
                <w:color w:val="000000"/>
                <w:kern w:val="0"/>
                <w:sz w:val="24"/>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 w:hAnsi="仿宋" w:eastAsia="仿宋" w:cs="仿宋"/>
                <w:sz w:val="24"/>
              </w:rPr>
            </w:pPr>
            <w:r>
              <w:rPr>
                <w:rFonts w:hint="eastAsia" w:ascii="仿宋" w:hAnsi="仿宋" w:eastAsia="仿宋" w:cs="仿宋"/>
                <w:color w:val="000000"/>
                <w:kern w:val="0"/>
                <w:sz w:val="24"/>
              </w:rPr>
              <w:t>调研报名公示开始时间：202</w:t>
            </w:r>
            <w:r>
              <w:rPr>
                <w:rFonts w:ascii="仿宋" w:hAnsi="仿宋" w:eastAsia="仿宋" w:cs="仿宋"/>
                <w:color w:val="000000"/>
                <w:kern w:val="0"/>
                <w:sz w:val="24"/>
              </w:rPr>
              <w:t>2</w:t>
            </w:r>
            <w:r>
              <w:rPr>
                <w:rFonts w:hint="eastAsia" w:ascii="仿宋" w:hAnsi="仿宋" w:eastAsia="仿宋" w:cs="仿宋"/>
                <w:color w:val="000000"/>
                <w:kern w:val="0"/>
                <w:sz w:val="24"/>
              </w:rPr>
              <w:t>年 </w:t>
            </w:r>
            <w:r>
              <w:rPr>
                <w:rFonts w:ascii="仿宋" w:hAnsi="仿宋" w:eastAsia="仿宋" w:cs="仿宋"/>
                <w:color w:val="000000"/>
                <w:kern w:val="0"/>
                <w:sz w:val="24"/>
              </w:rPr>
              <w:t>10</w:t>
            </w:r>
            <w:r>
              <w:rPr>
                <w:rFonts w:hint="eastAsia" w:ascii="仿宋" w:hAnsi="仿宋" w:eastAsia="仿宋" w:cs="仿宋"/>
                <w:color w:val="000000"/>
                <w:kern w:val="0"/>
                <w:sz w:val="24"/>
              </w:rPr>
              <w:t> 月　2</w:t>
            </w: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rPr>
              <w:t>　日北京时间</w:t>
            </w:r>
          </w:p>
          <w:p>
            <w:pPr>
              <w:widowControl/>
              <w:spacing w:line="315" w:lineRule="atLeast"/>
              <w:rPr>
                <w:rFonts w:ascii="仿宋" w:hAnsi="仿宋" w:eastAsia="仿宋" w:cs="仿宋"/>
                <w:color w:val="000000"/>
                <w:kern w:val="0"/>
                <w:sz w:val="24"/>
              </w:rPr>
            </w:pPr>
            <w:r>
              <w:rPr>
                <w:rFonts w:hint="eastAsia" w:ascii="仿宋" w:hAnsi="仿宋" w:eastAsia="仿宋" w:cs="仿宋"/>
                <w:color w:val="000000"/>
                <w:kern w:val="0"/>
                <w:sz w:val="24"/>
              </w:rPr>
              <w:t>调研报名截止时间：202</w:t>
            </w:r>
            <w:r>
              <w:rPr>
                <w:rFonts w:ascii="仿宋" w:hAnsi="仿宋" w:eastAsia="仿宋" w:cs="仿宋"/>
                <w:color w:val="000000"/>
                <w:kern w:val="0"/>
                <w:sz w:val="24"/>
              </w:rPr>
              <w:t>2</w:t>
            </w:r>
            <w:r>
              <w:rPr>
                <w:rFonts w:hint="eastAsia" w:ascii="仿宋" w:hAnsi="仿宋" w:eastAsia="仿宋" w:cs="仿宋"/>
                <w:color w:val="000000"/>
                <w:kern w:val="0"/>
                <w:sz w:val="24"/>
              </w:rPr>
              <w:t>年　</w:t>
            </w:r>
            <w:r>
              <w:rPr>
                <w:rFonts w:ascii="仿宋" w:hAnsi="仿宋" w:eastAsia="仿宋" w:cs="仿宋"/>
                <w:color w:val="000000"/>
                <w:kern w:val="0"/>
                <w:sz w:val="24"/>
              </w:rPr>
              <w:t>1</w:t>
            </w:r>
            <w:r>
              <w:rPr>
                <w:rFonts w:hint="eastAsia" w:ascii="仿宋" w:hAnsi="仿宋" w:eastAsia="仿宋" w:cs="仿宋"/>
                <w:color w:val="000000"/>
                <w:kern w:val="0"/>
                <w:sz w:val="24"/>
                <w:lang w:val="en-US" w:eastAsia="zh-CN"/>
              </w:rPr>
              <w:t>0</w:t>
            </w:r>
            <w:r>
              <w:rPr>
                <w:rFonts w:hint="eastAsia" w:ascii="仿宋" w:hAnsi="仿宋" w:eastAsia="仿宋" w:cs="仿宋"/>
                <w:color w:val="000000"/>
                <w:kern w:val="0"/>
                <w:sz w:val="24"/>
              </w:rPr>
              <w:t>月　</w:t>
            </w:r>
            <w:r>
              <w:rPr>
                <w:rFonts w:hint="eastAsia" w:ascii="仿宋" w:hAnsi="仿宋" w:eastAsia="仿宋" w:cs="仿宋"/>
                <w:color w:val="000000"/>
                <w:kern w:val="0"/>
                <w:sz w:val="24"/>
                <w:lang w:val="en-US" w:eastAsia="zh-CN"/>
              </w:rPr>
              <w:t>28</w:t>
            </w:r>
            <w:r>
              <w:rPr>
                <w:rFonts w:hint="eastAsia" w:ascii="仿宋" w:hAnsi="仿宋" w:eastAsia="仿宋" w:cs="仿宋"/>
                <w:color w:val="000000"/>
                <w:kern w:val="0"/>
                <w:sz w:val="24"/>
              </w:rPr>
              <w:t>　日下午17分北京时间</w:t>
            </w:r>
          </w:p>
          <w:p>
            <w:pPr>
              <w:widowControl/>
              <w:spacing w:line="315" w:lineRule="atLeast"/>
              <w:rPr>
                <w:rFonts w:ascii="仿宋" w:hAnsi="仿宋" w:eastAsia="仿宋" w:cs="仿宋"/>
                <w:color w:val="000000"/>
                <w:kern w:val="0"/>
                <w:sz w:val="24"/>
              </w:rPr>
            </w:pPr>
            <w:r>
              <w:rPr>
                <w:rFonts w:hint="eastAsia" w:ascii="仿宋" w:hAnsi="仿宋" w:eastAsia="仿宋" w:cs="仿宋"/>
                <w:color w:val="000000"/>
                <w:kern w:val="0"/>
                <w:sz w:val="24"/>
              </w:rPr>
              <w:t>(报名请携带加盖公章的项目文件回执单、营业执照复印件、公司简介)</w:t>
            </w:r>
          </w:p>
          <w:p>
            <w:pPr>
              <w:widowControl/>
              <w:spacing w:line="315" w:lineRule="atLeast"/>
              <w:rPr>
                <w:rFonts w:ascii="仿宋" w:hAnsi="仿宋" w:eastAsia="仿宋" w:cs="仿宋"/>
                <w:color w:val="000000"/>
                <w:kern w:val="0"/>
                <w:sz w:val="24"/>
              </w:rPr>
            </w:pPr>
          </w:p>
          <w:p>
            <w:pPr>
              <w:widowControl/>
              <w:spacing w:line="315" w:lineRule="atLeast"/>
              <w:rPr>
                <w:rFonts w:ascii="仿宋" w:hAnsi="仿宋" w:eastAsia="仿宋" w:cs="仿宋"/>
                <w:color w:val="000000"/>
                <w:kern w:val="0"/>
                <w:sz w:val="24"/>
                <w:u w:val="single"/>
              </w:rPr>
            </w:pPr>
            <w:r>
              <w:rPr>
                <w:rFonts w:hint="eastAsia" w:ascii="仿宋" w:hAnsi="仿宋" w:eastAsia="仿宋" w:cs="仿宋"/>
                <w:color w:val="000000"/>
                <w:kern w:val="0"/>
                <w:sz w:val="24"/>
              </w:rPr>
              <w:t>调研会时间：</w:t>
            </w:r>
            <w:r>
              <w:rPr>
                <w:rFonts w:hint="eastAsia" w:ascii="仿宋_GB2312" w:eastAsia="仿宋_GB2312"/>
                <w:sz w:val="24"/>
                <w:u w:val="single"/>
              </w:rPr>
              <w:t>调研会议时间另行通知</w:t>
            </w:r>
            <w:r>
              <w:rPr>
                <w:rFonts w:hint="eastAsia" w:ascii="仿宋" w:hAnsi="仿宋" w:eastAsia="仿宋" w:cs="仿宋"/>
                <w:color w:val="000000"/>
                <w:kern w:val="0"/>
                <w:sz w:val="24"/>
                <w:u w:val="single"/>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959"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
              </w:rPr>
            </w:pPr>
            <w:r>
              <w:rPr>
                <w:rFonts w:hint="eastAsia" w:ascii="仿宋" w:hAnsi="仿宋" w:eastAsia="仿宋" w:cs="仿宋"/>
                <w:color w:val="000000"/>
                <w:kern w:val="0"/>
                <w:sz w:val="24"/>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 w:hAnsi="仿宋" w:eastAsia="仿宋" w:cs="仿宋"/>
              </w:rPr>
            </w:pPr>
            <w:r>
              <w:rPr>
                <w:rFonts w:hint="eastAsia" w:ascii="仿宋" w:hAnsi="仿宋" w:eastAsia="仿宋" w:cs="仿宋"/>
                <w:color w:val="000000"/>
                <w:kern w:val="0"/>
                <w:sz w:val="24"/>
              </w:rPr>
              <w:t xml:space="preserve">项目： </w:t>
            </w:r>
            <w:r>
              <w:rPr>
                <w:rFonts w:ascii="仿宋" w:hAnsi="仿宋" w:eastAsia="仿宋" w:cs="仿宋"/>
                <w:color w:val="000000"/>
                <w:kern w:val="0"/>
                <w:sz w:val="24"/>
              </w:rPr>
              <w:t xml:space="preserve">  </w:t>
            </w:r>
            <w:r>
              <w:rPr>
                <w:rFonts w:hint="eastAsia" w:ascii="方正小标宋简体" w:eastAsia="方正小标宋简体"/>
                <w:sz w:val="28"/>
                <w:szCs w:val="28"/>
                <w:lang w:val="zh-CN" w:eastAsia="zh-CN"/>
              </w:rPr>
              <w:t>药物配置全流程管理系统</w:t>
            </w:r>
            <w:r>
              <w:rPr>
                <w:rFonts w:hint="eastAsia" w:ascii="方正小标宋简体" w:eastAsia="方正小标宋简体"/>
                <w:sz w:val="28"/>
                <w:szCs w:val="28"/>
              </w:rPr>
              <w:t>项目</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85"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
              </w:rPr>
            </w:pPr>
            <w:r>
              <w:rPr>
                <w:rFonts w:hint="eastAsia" w:ascii="仿宋" w:hAnsi="仿宋" w:eastAsia="仿宋" w:cs="仿宋"/>
                <w:color w:val="000000"/>
                <w:kern w:val="0"/>
                <w:sz w:val="24"/>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 w:hAnsi="仿宋" w:eastAsia="仿宋" w:cs="仿宋"/>
              </w:rPr>
            </w:pPr>
            <w:r>
              <w:rPr>
                <w:rFonts w:hint="eastAsia" w:ascii="仿宋" w:hAnsi="仿宋" w:eastAsia="仿宋" w:cs="仿宋"/>
                <w:color w:val="000000"/>
                <w:kern w:val="0"/>
                <w:sz w:val="24"/>
              </w:rPr>
              <w:t>文件正本</w:t>
            </w:r>
            <w:r>
              <w:rPr>
                <w:rFonts w:hint="eastAsia" w:ascii="仿宋" w:hAnsi="仿宋" w:eastAsia="仿宋" w:cs="仿宋"/>
                <w:color w:val="000000"/>
                <w:kern w:val="0"/>
                <w:sz w:val="24"/>
                <w:u w:val="single"/>
              </w:rPr>
              <w:t>　</w:t>
            </w:r>
            <w:r>
              <w:rPr>
                <w:rFonts w:eastAsia="仿宋" w:cs="Calibri"/>
                <w:color w:val="000000"/>
                <w:kern w:val="0"/>
                <w:sz w:val="24"/>
                <w:u w:val="single"/>
              </w:rPr>
              <w:t> </w:t>
            </w:r>
            <w:r>
              <w:rPr>
                <w:rFonts w:hint="eastAsia" w:ascii="仿宋" w:hAnsi="仿宋" w:eastAsia="仿宋" w:cs="仿宋"/>
                <w:color w:val="000000"/>
                <w:kern w:val="0"/>
                <w:sz w:val="24"/>
                <w:u w:val="single"/>
              </w:rPr>
              <w:t>1　</w:t>
            </w:r>
            <w:r>
              <w:rPr>
                <w:rFonts w:hint="eastAsia" w:ascii="仿宋" w:hAnsi="仿宋" w:eastAsia="仿宋" w:cs="仿宋"/>
                <w:color w:val="000000"/>
                <w:kern w:val="0"/>
                <w:sz w:val="24"/>
              </w:rPr>
              <w:t>份，副本</w:t>
            </w:r>
            <w:r>
              <w:rPr>
                <w:rFonts w:hint="eastAsia" w:ascii="仿宋" w:hAnsi="仿宋" w:eastAsia="仿宋" w:cs="仿宋"/>
                <w:color w:val="000000"/>
                <w:kern w:val="0"/>
                <w:sz w:val="24"/>
                <w:u w:val="single"/>
              </w:rPr>
              <w:t>　</w:t>
            </w:r>
            <w:r>
              <w:rPr>
                <w:rFonts w:eastAsia="仿宋" w:cs="Calibri"/>
                <w:color w:val="000000"/>
                <w:kern w:val="0"/>
                <w:sz w:val="24"/>
                <w:u w:val="single"/>
              </w:rPr>
              <w:t> </w:t>
            </w:r>
            <w:r>
              <w:rPr>
                <w:rFonts w:ascii="仿宋" w:hAnsi="仿宋" w:eastAsia="仿宋" w:cs="仿宋"/>
                <w:color w:val="000000"/>
                <w:kern w:val="0"/>
                <w:sz w:val="24"/>
                <w:u w:val="single"/>
              </w:rPr>
              <w:t>2</w:t>
            </w:r>
            <w:r>
              <w:rPr>
                <w:rFonts w:hint="eastAsia" w:ascii="仿宋" w:hAnsi="仿宋" w:eastAsia="仿宋" w:cs="仿宋"/>
                <w:color w:val="000000"/>
                <w:kern w:val="0"/>
                <w:sz w:val="24"/>
                <w:u w:val="single"/>
              </w:rPr>
              <w:t>　</w:t>
            </w:r>
            <w:r>
              <w:rPr>
                <w:rFonts w:hint="eastAsia" w:ascii="仿宋" w:hAnsi="仿宋" w:eastAsia="仿宋" w:cs="仿宋"/>
                <w:color w:val="000000"/>
                <w:kern w:val="0"/>
                <w:sz w:val="24"/>
              </w:rPr>
              <w:t>份。</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
              </w:rPr>
            </w:pPr>
            <w:r>
              <w:rPr>
                <w:rFonts w:hint="eastAsia" w:ascii="仿宋" w:hAnsi="仿宋" w:eastAsia="仿宋" w:cs="仿宋"/>
                <w:color w:val="000000"/>
                <w:kern w:val="0"/>
                <w:sz w:val="24"/>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 w:hAnsi="仿宋" w:eastAsia="仿宋" w:cs="仿宋"/>
              </w:rPr>
            </w:pPr>
            <w:r>
              <w:rPr>
                <w:rFonts w:hint="eastAsia" w:ascii="仿宋" w:hAnsi="仿宋" w:eastAsia="仿宋" w:cs="仿宋"/>
                <w:color w:val="000000"/>
                <w:kern w:val="0"/>
                <w:sz w:val="24"/>
              </w:rPr>
              <w:t>文件递交处：</w:t>
            </w:r>
            <w:r>
              <w:rPr>
                <w:rFonts w:hint="eastAsia" w:ascii="仿宋" w:hAnsi="仿宋" w:eastAsia="仿宋" w:cs="仿宋"/>
                <w:color w:val="000000"/>
                <w:kern w:val="0"/>
                <w:sz w:val="24"/>
                <w:u w:val="single"/>
              </w:rPr>
              <w:t>　福建省肿瘤医院 网络办会议室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
              </w:rPr>
            </w:pPr>
            <w:r>
              <w:rPr>
                <w:rFonts w:hint="eastAsia" w:ascii="仿宋" w:hAnsi="仿宋" w:eastAsia="仿宋" w:cs="仿宋"/>
                <w:color w:val="000000"/>
                <w:kern w:val="0"/>
                <w:sz w:val="24"/>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 w:hAnsi="仿宋" w:eastAsia="仿宋" w:cs="仿宋"/>
              </w:rPr>
            </w:pPr>
            <w:r>
              <w:rPr>
                <w:rFonts w:hint="eastAsia" w:ascii="仿宋" w:hAnsi="仿宋" w:eastAsia="仿宋" w:cs="仿宋"/>
                <w:color w:val="000000"/>
                <w:kern w:val="0"/>
                <w:sz w:val="24"/>
              </w:rPr>
              <w:t>上述时间、地点如有变动，以单位届时通知为准。</w:t>
            </w:r>
          </w:p>
        </w:tc>
      </w:tr>
    </w:tbl>
    <w:p>
      <w:pPr>
        <w:widowControl/>
        <w:shd w:val="clear" w:color="auto" w:fill="FFFFFF"/>
        <w:spacing w:line="440" w:lineRule="atLeast"/>
        <w:rPr>
          <w:rFonts w:ascii="仿宋" w:hAnsi="仿宋" w:eastAsia="仿宋" w:cs="仿宋"/>
        </w:rPr>
      </w:pPr>
      <w:r>
        <w:rPr>
          <w:rFonts w:hint="eastAsia" w:ascii="仿宋" w:hAnsi="仿宋" w:eastAsia="仿宋" w:cs="仿宋"/>
          <w:b/>
          <w:color w:val="000000"/>
          <w:kern w:val="0"/>
          <w:sz w:val="24"/>
          <w:shd w:val="clear" w:color="auto" w:fill="FFFFFF"/>
        </w:rPr>
        <w:t>地　址： 福建省福州市福马路420号</w:t>
      </w:r>
      <w:r>
        <w:rPr>
          <w:rFonts w:hint="eastAsia" w:ascii="仿宋" w:hAnsi="仿宋" w:eastAsia="仿宋" w:cs="仿宋"/>
          <w:b/>
          <w:color w:val="000000"/>
          <w:kern w:val="0"/>
          <w:sz w:val="24"/>
          <w:shd w:val="clear" w:color="auto" w:fill="FFFFFF"/>
          <w:lang w:val="en-US" w:eastAsia="zh-CN"/>
        </w:rPr>
        <w:t xml:space="preserve"> 福建</w:t>
      </w:r>
      <w:r>
        <w:rPr>
          <w:rFonts w:hint="eastAsia" w:ascii="仿宋" w:hAnsi="仿宋" w:eastAsia="仿宋" w:cs="仿宋"/>
          <w:b/>
          <w:color w:val="000000"/>
          <w:kern w:val="0"/>
          <w:sz w:val="24"/>
          <w:shd w:val="clear" w:color="auto" w:fill="FFFFFF"/>
        </w:rPr>
        <w:t>省肿瘤医院科研楼四楼网络办</w:t>
      </w:r>
    </w:p>
    <w:p>
      <w:pPr>
        <w:widowControl/>
        <w:shd w:val="clear" w:color="auto" w:fill="FFFFFF"/>
        <w:spacing w:line="440" w:lineRule="atLeast"/>
        <w:rPr>
          <w:rFonts w:ascii="仿宋" w:hAnsi="仿宋" w:eastAsia="仿宋" w:cs="仿宋"/>
        </w:rPr>
      </w:pPr>
      <w:r>
        <w:rPr>
          <w:rFonts w:hint="eastAsia" w:ascii="仿宋" w:hAnsi="仿宋" w:eastAsia="仿宋" w:cs="仿宋"/>
          <w:b/>
          <w:color w:val="000000"/>
          <w:kern w:val="0"/>
          <w:sz w:val="24"/>
          <w:shd w:val="clear" w:color="auto" w:fill="FFFFFF"/>
        </w:rPr>
        <w:t>邮　编： 3500</w:t>
      </w:r>
      <w:r>
        <w:rPr>
          <w:rFonts w:ascii="仿宋" w:hAnsi="仿宋" w:eastAsia="仿宋" w:cs="仿宋"/>
          <w:b/>
          <w:color w:val="000000"/>
          <w:kern w:val="0"/>
          <w:sz w:val="24"/>
          <w:shd w:val="clear" w:color="auto" w:fill="FFFFFF"/>
        </w:rPr>
        <w:t>14</w:t>
      </w:r>
      <w:r>
        <w:rPr>
          <w:rFonts w:hint="eastAsia" w:ascii="仿宋" w:hAnsi="仿宋" w:eastAsia="仿宋" w:cs="仿宋"/>
          <w:b/>
          <w:color w:val="000000"/>
          <w:kern w:val="0"/>
          <w:sz w:val="24"/>
          <w:shd w:val="clear" w:color="auto" w:fill="FFFFFF"/>
        </w:rPr>
        <w:t>　 </w:t>
      </w:r>
    </w:p>
    <w:p>
      <w:pPr>
        <w:widowControl/>
        <w:shd w:val="clear" w:color="auto" w:fill="FFFFFF"/>
        <w:spacing w:line="440" w:lineRule="atLeast"/>
        <w:rPr>
          <w:rFonts w:ascii="仿宋" w:hAnsi="仿宋" w:eastAsia="仿宋" w:cs="仿宋"/>
        </w:rPr>
      </w:pPr>
      <w:r>
        <w:rPr>
          <w:rFonts w:hint="eastAsia" w:ascii="仿宋" w:hAnsi="仿宋" w:eastAsia="仿宋" w:cs="仿宋"/>
          <w:b/>
          <w:color w:val="000000"/>
          <w:kern w:val="0"/>
          <w:sz w:val="24"/>
          <w:shd w:val="clear" w:color="auto" w:fill="FFFFFF"/>
        </w:rPr>
        <w:t>电　话： 0591-83660063-8822</w:t>
      </w:r>
    </w:p>
    <w:p>
      <w:pPr>
        <w:widowControl/>
        <w:shd w:val="clear" w:color="auto" w:fill="FFFFFF"/>
        <w:spacing w:line="440" w:lineRule="atLeast"/>
      </w:pPr>
      <w:r>
        <w:rPr>
          <w:rFonts w:hint="eastAsia" w:ascii="仿宋" w:hAnsi="仿宋" w:eastAsia="仿宋" w:cs="仿宋"/>
          <w:b/>
          <w:color w:val="000000"/>
          <w:kern w:val="0"/>
          <w:sz w:val="24"/>
          <w:shd w:val="clear" w:color="auto" w:fill="FFFFFF"/>
        </w:rPr>
        <w:t>联系人： 金工</w:t>
      </w:r>
    </w:p>
    <w:p>
      <w:pPr>
        <w:widowControl/>
        <w:shd w:val="clear" w:color="auto" w:fill="FFFFFF"/>
        <w:spacing w:line="440" w:lineRule="atLeast"/>
        <w:ind w:firstLine="480"/>
      </w:pPr>
      <w:r>
        <w:rPr>
          <w:rFonts w:hint="eastAsia" w:ascii="宋体" w:hAnsi="宋体" w:cs="宋体"/>
          <w:b/>
          <w:color w:val="000000"/>
          <w:kern w:val="0"/>
          <w:sz w:val="24"/>
          <w:shd w:val="clear" w:color="auto" w:fill="FFFFFF"/>
        </w:rPr>
        <w:t> </w:t>
      </w:r>
    </w:p>
    <w:p>
      <w:pPr>
        <w:widowControl/>
        <w:shd w:val="clear" w:color="auto" w:fill="FFFFFF"/>
        <w:spacing w:line="440" w:lineRule="atLeast"/>
        <w:ind w:firstLine="480"/>
        <w:rPr>
          <w:rFonts w:ascii="宋体" w:hAnsi="宋体" w:cs="宋体"/>
          <w:b/>
          <w:color w:val="000000"/>
          <w:kern w:val="0"/>
          <w:sz w:val="24"/>
          <w:shd w:val="clear" w:color="auto" w:fill="FFFFFF"/>
        </w:rPr>
      </w:pPr>
      <w:r>
        <w:rPr>
          <w:rFonts w:hint="eastAsia" w:ascii="宋体" w:hAnsi="宋体" w:cs="宋体"/>
          <w:b/>
          <w:color w:val="000000"/>
          <w:kern w:val="0"/>
          <w:sz w:val="24"/>
          <w:shd w:val="clear" w:color="auto" w:fill="FFFFFF"/>
        </w:rPr>
        <w:t> </w:t>
      </w:r>
    </w:p>
    <w:p>
      <w:pPr>
        <w:widowControl/>
        <w:shd w:val="clear" w:color="auto" w:fill="FFFFFF"/>
        <w:spacing w:line="440" w:lineRule="atLeast"/>
        <w:ind w:firstLine="480"/>
        <w:rPr>
          <w:rFonts w:ascii="宋体" w:hAnsi="宋体" w:cs="宋体"/>
          <w:b/>
          <w:color w:val="000000"/>
          <w:kern w:val="0"/>
          <w:sz w:val="24"/>
          <w:shd w:val="clear" w:color="auto" w:fill="FFFFFF"/>
        </w:rPr>
      </w:pPr>
    </w:p>
    <w:p>
      <w:pPr>
        <w:widowControl/>
        <w:shd w:val="clear" w:color="auto" w:fill="FFFFFF"/>
        <w:spacing w:line="440" w:lineRule="atLeast"/>
        <w:ind w:firstLine="480"/>
        <w:rPr>
          <w:rFonts w:ascii="宋体" w:hAnsi="宋体" w:cs="宋体"/>
          <w:b/>
          <w:color w:val="000000"/>
          <w:kern w:val="0"/>
          <w:sz w:val="24"/>
          <w:shd w:val="clear" w:color="auto" w:fill="FFFFFF"/>
        </w:rPr>
      </w:pPr>
    </w:p>
    <w:p>
      <w:pPr>
        <w:widowControl/>
        <w:shd w:val="clear" w:color="auto" w:fill="FFFFFF"/>
        <w:spacing w:line="440" w:lineRule="atLeast"/>
        <w:ind w:firstLine="480"/>
        <w:rPr>
          <w:rFonts w:ascii="宋体" w:hAnsi="宋体" w:cs="宋体"/>
          <w:b/>
          <w:color w:val="000000"/>
          <w:kern w:val="0"/>
          <w:sz w:val="24"/>
          <w:shd w:val="clear" w:color="auto" w:fill="FFFFFF"/>
        </w:rPr>
      </w:pPr>
    </w:p>
    <w:p>
      <w:pPr>
        <w:widowControl/>
        <w:shd w:val="clear" w:color="auto" w:fill="FFFFFF"/>
        <w:spacing w:line="440" w:lineRule="atLeast"/>
        <w:ind w:firstLine="480"/>
        <w:rPr>
          <w:rFonts w:ascii="宋体" w:hAnsi="宋体" w:cs="宋体"/>
          <w:b/>
          <w:color w:val="000000"/>
          <w:kern w:val="0"/>
          <w:sz w:val="24"/>
          <w:shd w:val="clear" w:color="auto" w:fill="FFFFFF"/>
        </w:rPr>
      </w:pPr>
    </w:p>
    <w:p>
      <w:pPr>
        <w:widowControl/>
        <w:shd w:val="clear" w:color="auto" w:fill="FFFFFF"/>
        <w:spacing w:line="440" w:lineRule="atLeast"/>
        <w:ind w:firstLine="480"/>
        <w:rPr>
          <w:rFonts w:ascii="宋体" w:hAnsi="宋体" w:cs="宋体"/>
          <w:b/>
          <w:color w:val="000000"/>
          <w:kern w:val="0"/>
          <w:sz w:val="24"/>
          <w:shd w:val="clear" w:color="auto" w:fill="FFFFFF"/>
        </w:rPr>
      </w:pPr>
    </w:p>
    <w:p>
      <w:pPr>
        <w:widowControl/>
        <w:shd w:val="clear" w:color="auto" w:fill="FFFFFF"/>
        <w:spacing w:line="440" w:lineRule="atLeast"/>
        <w:ind w:firstLine="480"/>
        <w:rPr>
          <w:rFonts w:ascii="宋体" w:hAnsi="宋体" w:cs="宋体"/>
          <w:b/>
          <w:color w:val="000000"/>
          <w:kern w:val="0"/>
          <w:sz w:val="24"/>
          <w:shd w:val="clear" w:color="auto" w:fill="FFFFFF"/>
        </w:rPr>
      </w:pPr>
    </w:p>
    <w:p>
      <w:pPr>
        <w:widowControl/>
        <w:shd w:val="clear" w:color="auto" w:fill="FFFFFF"/>
        <w:spacing w:line="440" w:lineRule="atLeast"/>
        <w:ind w:firstLine="480"/>
        <w:rPr>
          <w:rFonts w:ascii="宋体" w:hAnsi="宋体" w:cs="宋体"/>
          <w:b/>
          <w:color w:val="000000"/>
          <w:kern w:val="0"/>
          <w:sz w:val="24"/>
          <w:shd w:val="clear" w:color="auto" w:fill="FFFFFF"/>
        </w:rPr>
      </w:pPr>
    </w:p>
    <w:p>
      <w:pPr>
        <w:keepNext/>
        <w:widowControl/>
        <w:numPr>
          <w:ilvl w:val="0"/>
          <w:numId w:val="1"/>
        </w:numPr>
        <w:shd w:val="clear" w:color="auto" w:fill="FFFFFF"/>
        <w:autoSpaceDE w:val="0"/>
        <w:spacing w:before="120" w:after="120"/>
        <w:ind w:left="420" w:hanging="420"/>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采购内容</w:t>
      </w:r>
    </w:p>
    <w:p>
      <w:pPr>
        <w:widowControl/>
        <w:shd w:val="clear" w:color="auto" w:fill="FFFFFF"/>
        <w:ind w:firstLine="480"/>
        <w:rPr>
          <w:rFonts w:ascii="宋体" w:hAnsi="宋体" w:cs="宋体"/>
          <w:b/>
          <w:color w:val="000000"/>
          <w:kern w:val="0"/>
          <w:sz w:val="24"/>
          <w:shd w:val="clear" w:color="auto" w:fill="FFFFFF"/>
        </w:rPr>
      </w:pPr>
    </w:p>
    <w:tbl>
      <w:tblPr>
        <w:tblW w:w="71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6"/>
        <w:gridCol w:w="3989"/>
        <w:gridCol w:w="1033"/>
        <w:gridCol w:w="1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86" w:type="dxa"/>
            <w:vAlign w:val="center"/>
          </w:tcPr>
          <w:p>
            <w:pPr>
              <w:spacing w:line="360" w:lineRule="auto"/>
              <w:jc w:val="center"/>
              <w:rPr>
                <w:rFonts w:ascii="仿宋" w:hAnsi="仿宋" w:eastAsia="仿宋" w:cs="仿宋"/>
                <w:sz w:val="24"/>
              </w:rPr>
            </w:pPr>
            <w:r>
              <w:rPr>
                <w:rFonts w:hint="eastAsia" w:ascii="仿宋" w:hAnsi="仿宋" w:eastAsia="仿宋" w:cs="仿宋"/>
                <w:sz w:val="24"/>
              </w:rPr>
              <w:t>合同包</w:t>
            </w:r>
          </w:p>
        </w:tc>
        <w:tc>
          <w:tcPr>
            <w:tcW w:w="3989" w:type="dxa"/>
            <w:vAlign w:val="top"/>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采购标的</w:t>
            </w:r>
          </w:p>
        </w:tc>
        <w:tc>
          <w:tcPr>
            <w:tcW w:w="1033" w:type="dxa"/>
            <w:vAlign w:val="top"/>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数量/单位</w:t>
            </w:r>
          </w:p>
        </w:tc>
        <w:tc>
          <w:tcPr>
            <w:tcW w:w="1163" w:type="dxa"/>
            <w:vAlign w:val="top"/>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预算</w:t>
            </w:r>
            <w:bookmarkStart w:id="0" w:name="_GoBack"/>
            <w:bookmarkEnd w:id="0"/>
            <w:r>
              <w:rPr>
                <w:rFonts w:hint="eastAsia" w:ascii="仿宋" w:hAnsi="仿宋" w:eastAsia="仿宋" w:cs="仿宋"/>
                <w:kern w:val="0"/>
                <w:sz w:val="24"/>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86" w:type="dxa"/>
            <w:vAlign w:val="center"/>
          </w:tcPr>
          <w:p>
            <w:pPr>
              <w:spacing w:line="360" w:lineRule="auto"/>
              <w:jc w:val="center"/>
              <w:rPr>
                <w:rFonts w:ascii="仿宋" w:hAnsi="仿宋" w:eastAsia="仿宋" w:cs="仿宋"/>
                <w:sz w:val="24"/>
              </w:rPr>
            </w:pPr>
            <w:r>
              <w:rPr>
                <w:rFonts w:hint="eastAsia" w:ascii="仿宋" w:hAnsi="仿宋" w:eastAsia="仿宋" w:cs="仿宋"/>
                <w:sz w:val="24"/>
              </w:rPr>
              <w:t>1-1</w:t>
            </w:r>
          </w:p>
        </w:tc>
        <w:tc>
          <w:tcPr>
            <w:tcW w:w="3989" w:type="dxa"/>
            <w:vAlign w:val="top"/>
          </w:tcPr>
          <w:p>
            <w:pPr>
              <w:widowControl/>
              <w:spacing w:line="360" w:lineRule="auto"/>
              <w:jc w:val="center"/>
              <w:rPr>
                <w:rFonts w:ascii="仿宋" w:hAnsi="仿宋" w:eastAsia="仿宋" w:cs="仿宋"/>
                <w:kern w:val="0"/>
                <w:sz w:val="24"/>
              </w:rPr>
            </w:pPr>
            <w:r>
              <w:rPr>
                <w:rFonts w:hint="eastAsia" w:ascii="方正小标宋简体" w:eastAsia="方正小标宋简体"/>
                <w:sz w:val="28"/>
                <w:szCs w:val="28"/>
                <w:lang w:val="zh-CN" w:eastAsia="zh-CN"/>
              </w:rPr>
              <w:t>药物配置全流程管理系统</w:t>
            </w:r>
            <w:r>
              <w:rPr>
                <w:rFonts w:hint="eastAsia" w:ascii="方正小标宋简体" w:eastAsia="方正小标宋简体"/>
                <w:sz w:val="28"/>
                <w:szCs w:val="28"/>
              </w:rPr>
              <w:t>项目</w:t>
            </w:r>
          </w:p>
        </w:tc>
        <w:tc>
          <w:tcPr>
            <w:tcW w:w="1033" w:type="dxa"/>
            <w:vAlign w:val="top"/>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1163" w:type="dxa"/>
            <w:vAlign w:val="top"/>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lang w:val="en-US" w:eastAsia="zh-CN"/>
              </w:rPr>
              <w:t>50</w:t>
            </w:r>
            <w:r>
              <w:rPr>
                <w:rFonts w:hint="eastAsia" w:ascii="仿宋" w:hAnsi="仿宋" w:eastAsia="仿宋" w:cs="仿宋"/>
                <w:kern w:val="0"/>
                <w:sz w:val="24"/>
              </w:rPr>
              <w:t>万</w:t>
            </w:r>
          </w:p>
        </w:tc>
      </w:tr>
    </w:tbl>
    <w:p>
      <w:pPr>
        <w:keepNext/>
        <w:widowControl/>
        <w:numPr>
          <w:ilvl w:val="0"/>
          <w:numId w:val="1"/>
        </w:numPr>
        <w:shd w:val="clear" w:color="auto" w:fill="FFFFFF"/>
        <w:autoSpaceDE w:val="0"/>
        <w:spacing w:before="120" w:after="120"/>
        <w:ind w:left="420" w:hanging="420"/>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软件技术功能及服务要求</w:t>
      </w:r>
    </w:p>
    <w:p>
      <w:pPr>
        <w:pStyle w:val="5"/>
        <w:numPr>
          <w:ilvl w:val="0"/>
          <w:numId w:val="2"/>
        </w:numPr>
        <w:rPr>
          <w:rFonts w:hint="eastAsia"/>
          <w:sz w:val="28"/>
          <w:szCs w:val="28"/>
          <w:lang w:val="zh-CN" w:eastAsia="zh-CN"/>
        </w:rPr>
      </w:pPr>
      <w:r>
        <w:rPr>
          <w:rFonts w:hint="eastAsia"/>
          <w:sz w:val="28"/>
          <w:szCs w:val="28"/>
          <w:lang w:val="zh-CN" w:eastAsia="zh-CN"/>
        </w:rPr>
        <w:t>药物配置全流程管理系统- 移动端（PDA端、手机端）及工作站端</w:t>
      </w:r>
    </w:p>
    <w:tbl>
      <w:tblPr>
        <w:tblW w:w="9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907"/>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44" w:type="dxa"/>
            <w:gridSpan w:val="2"/>
            <w:vAlign w:val="center"/>
          </w:tcPr>
          <w:p>
            <w:pPr>
              <w:spacing w:before="81" w:after="81"/>
              <w:ind w:firstLine="0"/>
              <w:jc w:val="center"/>
              <w:rPr>
                <w:rFonts w:ascii="宋体" w:hAnsi="宋体"/>
                <w:b/>
                <w:bCs/>
              </w:rPr>
            </w:pPr>
            <w:r>
              <w:rPr>
                <w:rFonts w:hint="eastAsia" w:ascii="宋体" w:hAnsi="宋体"/>
                <w:b/>
                <w:bCs/>
              </w:rPr>
              <w:t>功能模块</w:t>
            </w:r>
          </w:p>
        </w:tc>
        <w:tc>
          <w:tcPr>
            <w:tcW w:w="5937" w:type="dxa"/>
            <w:vAlign w:val="center"/>
          </w:tcPr>
          <w:p>
            <w:pPr>
              <w:spacing w:before="81" w:after="81"/>
              <w:ind w:firstLine="0"/>
              <w:jc w:val="center"/>
              <w:rPr>
                <w:rFonts w:ascii="宋体" w:hAnsi="宋体"/>
                <w:b/>
                <w:bCs/>
              </w:rPr>
            </w:pPr>
            <w:r>
              <w:rPr>
                <w:rFonts w:hint="eastAsia" w:ascii="宋体" w:hAnsi="宋体"/>
                <w:b/>
                <w:bCs/>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437" w:type="dxa"/>
            <w:vMerge w:val="restart"/>
            <w:vAlign w:val="center"/>
          </w:tcPr>
          <w:p>
            <w:pPr>
              <w:spacing w:before="81" w:after="81"/>
              <w:ind w:firstLine="0"/>
              <w:jc w:val="left"/>
              <w:rPr>
                <w:rFonts w:ascii="宋体" w:hAnsi="宋体"/>
              </w:rPr>
            </w:pPr>
            <w:r>
              <w:rPr>
                <w:rFonts w:hint="eastAsia" w:ascii="宋体" w:hAnsi="宋体"/>
              </w:rPr>
              <w:t>静配中心药物配置管理</w:t>
            </w:r>
          </w:p>
        </w:tc>
        <w:tc>
          <w:tcPr>
            <w:tcW w:w="1907" w:type="dxa"/>
            <w:vAlign w:val="center"/>
          </w:tcPr>
          <w:p>
            <w:pPr>
              <w:spacing w:before="81" w:after="81"/>
              <w:ind w:firstLine="0"/>
              <w:rPr>
                <w:rFonts w:ascii="宋体" w:hAnsi="宋体"/>
              </w:rPr>
            </w:pPr>
            <w:r>
              <w:rPr>
                <w:rFonts w:hint="eastAsia" w:ascii="宋体" w:hAnsi="宋体"/>
              </w:rPr>
              <w:t>输液卡-取药</w:t>
            </w:r>
          </w:p>
        </w:tc>
        <w:tc>
          <w:tcPr>
            <w:tcW w:w="5937" w:type="dxa"/>
            <w:vAlign w:val="top"/>
          </w:tcPr>
          <w:p>
            <w:pPr>
              <w:spacing w:before="81" w:after="81"/>
              <w:ind w:firstLine="0"/>
              <w:rPr>
                <w:rFonts w:ascii="宋体" w:hAnsi="宋体"/>
              </w:rPr>
            </w:pPr>
            <w:r>
              <w:rPr>
                <w:rFonts w:hint="eastAsia" w:ascii="宋体" w:hAnsi="宋体"/>
              </w:rPr>
              <w:t>通过扫码，对输液卡的药品进行取药登记；系统自动登记取药人、取药时间等。必要时提供药物取药核对流程。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437" w:type="dxa"/>
            <w:vMerge w:val="continue"/>
            <w:vAlign w:val="center"/>
          </w:tcPr>
          <w:p>
            <w:pPr>
              <w:spacing w:before="81" w:after="81"/>
              <w:ind w:firstLine="0"/>
              <w:jc w:val="left"/>
              <w:rPr>
                <w:rFonts w:ascii="宋体" w:hAnsi="宋体"/>
              </w:rPr>
            </w:pPr>
          </w:p>
        </w:tc>
        <w:tc>
          <w:tcPr>
            <w:tcW w:w="1907" w:type="dxa"/>
            <w:vAlign w:val="center"/>
          </w:tcPr>
          <w:p>
            <w:pPr>
              <w:spacing w:before="81" w:after="81"/>
              <w:ind w:firstLine="0"/>
              <w:rPr>
                <w:rFonts w:ascii="宋体" w:hAnsi="宋体"/>
              </w:rPr>
            </w:pPr>
            <w:r>
              <w:rPr>
                <w:rFonts w:hint="eastAsia" w:ascii="宋体" w:hAnsi="宋体"/>
              </w:rPr>
              <w:t>输液袋-配药</w:t>
            </w:r>
          </w:p>
        </w:tc>
        <w:tc>
          <w:tcPr>
            <w:tcW w:w="5937" w:type="dxa"/>
            <w:vAlign w:val="top"/>
          </w:tcPr>
          <w:p>
            <w:pPr>
              <w:spacing w:before="81" w:after="81"/>
              <w:ind w:firstLine="0"/>
              <w:rPr>
                <w:rFonts w:ascii="宋体" w:hAnsi="宋体"/>
              </w:rPr>
            </w:pPr>
            <w:r>
              <w:rPr>
                <w:rFonts w:hint="eastAsia" w:ascii="宋体" w:hAnsi="宋体"/>
              </w:rPr>
              <w:t>通过扫码，对输液卡的药品进行配置登记；系统自动登记配置人、配置开始、结束时间等。必要时提供药物配置开始登记、配置结束登记。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437" w:type="dxa"/>
            <w:vMerge w:val="continue"/>
            <w:vAlign w:val="center"/>
          </w:tcPr>
          <w:p>
            <w:pPr>
              <w:spacing w:before="81" w:after="81"/>
              <w:ind w:firstLine="0"/>
              <w:jc w:val="left"/>
              <w:rPr>
                <w:rFonts w:ascii="宋体" w:hAnsi="宋体"/>
              </w:rPr>
            </w:pPr>
          </w:p>
        </w:tc>
        <w:tc>
          <w:tcPr>
            <w:tcW w:w="1907" w:type="dxa"/>
            <w:vAlign w:val="center"/>
          </w:tcPr>
          <w:p>
            <w:pPr>
              <w:spacing w:before="81" w:after="81"/>
              <w:ind w:firstLine="0"/>
              <w:rPr>
                <w:rFonts w:ascii="宋体" w:hAnsi="宋体"/>
              </w:rPr>
            </w:pPr>
            <w:r>
              <w:rPr>
                <w:rFonts w:hint="eastAsia" w:ascii="宋体" w:hAnsi="宋体"/>
              </w:rPr>
              <w:t>输液袋-审核</w:t>
            </w:r>
          </w:p>
        </w:tc>
        <w:tc>
          <w:tcPr>
            <w:tcW w:w="5937" w:type="dxa"/>
            <w:vAlign w:val="top"/>
          </w:tcPr>
          <w:p>
            <w:pPr>
              <w:spacing w:before="81" w:after="81"/>
              <w:ind w:firstLine="0"/>
              <w:rPr>
                <w:rFonts w:ascii="宋体" w:hAnsi="宋体"/>
              </w:rPr>
            </w:pPr>
            <w:r>
              <w:rPr>
                <w:rFonts w:hint="eastAsia" w:ascii="宋体" w:hAnsi="宋体"/>
              </w:rPr>
              <w:t>通过扫码，对已配置的输液袋进行审核登记；系统自动登记审核人、审核时间等，并能够登记是否合格及不合格原因等。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437" w:type="dxa"/>
            <w:vMerge w:val="continue"/>
            <w:vAlign w:val="center"/>
          </w:tcPr>
          <w:p>
            <w:pPr>
              <w:spacing w:before="81" w:after="81"/>
              <w:ind w:firstLine="0"/>
              <w:jc w:val="left"/>
              <w:rPr>
                <w:rFonts w:ascii="宋体" w:hAnsi="宋体"/>
              </w:rPr>
            </w:pPr>
          </w:p>
        </w:tc>
        <w:tc>
          <w:tcPr>
            <w:tcW w:w="1907" w:type="dxa"/>
            <w:vAlign w:val="center"/>
          </w:tcPr>
          <w:p>
            <w:pPr>
              <w:spacing w:before="81" w:after="81"/>
              <w:ind w:firstLine="0"/>
              <w:rPr>
                <w:rFonts w:ascii="宋体" w:hAnsi="宋体"/>
              </w:rPr>
            </w:pPr>
            <w:r>
              <w:rPr>
                <w:rFonts w:hint="eastAsia" w:ascii="宋体" w:hAnsi="宋体"/>
              </w:rPr>
              <w:t>输液袋-出仓</w:t>
            </w:r>
          </w:p>
        </w:tc>
        <w:tc>
          <w:tcPr>
            <w:tcW w:w="5937" w:type="dxa"/>
            <w:vAlign w:val="top"/>
          </w:tcPr>
          <w:p>
            <w:pPr>
              <w:spacing w:before="81" w:after="81"/>
              <w:ind w:firstLine="0"/>
              <w:rPr>
                <w:rFonts w:ascii="宋体" w:hAnsi="宋体"/>
              </w:rPr>
            </w:pPr>
            <w:r>
              <w:rPr>
                <w:rFonts w:hint="eastAsia" w:ascii="宋体" w:hAnsi="宋体"/>
              </w:rPr>
              <w:t>通过扫码，对已配置的输液袋进行出仓登记；系统自动登记出仓人、出仓时间等。在部署分拣机后，由分拣机提供接口，获取分拣机号、分拣时间作为出仓登记记录，并纳入统一管理体系；</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437" w:type="dxa"/>
            <w:vMerge w:val="continue"/>
            <w:vAlign w:val="center"/>
          </w:tcPr>
          <w:p>
            <w:pPr>
              <w:spacing w:before="81" w:after="81"/>
              <w:ind w:firstLine="0"/>
              <w:jc w:val="left"/>
              <w:rPr>
                <w:rFonts w:ascii="宋体" w:hAnsi="宋体"/>
              </w:rPr>
            </w:pPr>
          </w:p>
        </w:tc>
        <w:tc>
          <w:tcPr>
            <w:tcW w:w="1907" w:type="dxa"/>
            <w:vAlign w:val="center"/>
          </w:tcPr>
          <w:p>
            <w:pPr>
              <w:spacing w:before="81" w:after="81"/>
              <w:ind w:firstLine="0"/>
              <w:rPr>
                <w:rFonts w:ascii="宋体" w:hAnsi="宋体"/>
              </w:rPr>
            </w:pPr>
            <w:r>
              <w:rPr>
                <w:rFonts w:hint="eastAsia" w:ascii="宋体" w:hAnsi="宋体"/>
              </w:rPr>
              <w:t>输液袋-病区接收</w:t>
            </w:r>
          </w:p>
        </w:tc>
        <w:tc>
          <w:tcPr>
            <w:tcW w:w="5937" w:type="dxa"/>
            <w:vAlign w:val="top"/>
          </w:tcPr>
          <w:p>
            <w:pPr>
              <w:spacing w:before="81" w:after="81"/>
              <w:ind w:firstLine="0"/>
              <w:rPr>
                <w:rFonts w:ascii="宋体" w:hAnsi="宋体"/>
              </w:rPr>
            </w:pPr>
            <w:r>
              <w:rPr>
                <w:rFonts w:hint="eastAsia" w:ascii="宋体" w:hAnsi="宋体"/>
              </w:rPr>
              <w:t>通过扫码，对已到达病区的输液袋进行接收登记；系统自动登记接收人、接收时间，并实时校验提示输液袋的患者所属病区等。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437" w:type="dxa"/>
            <w:vMerge w:val="continue"/>
            <w:vAlign w:val="center"/>
          </w:tcPr>
          <w:p>
            <w:pPr>
              <w:spacing w:before="81" w:after="81"/>
              <w:ind w:firstLine="0"/>
              <w:jc w:val="left"/>
              <w:rPr>
                <w:rFonts w:ascii="宋体" w:hAnsi="宋体"/>
              </w:rPr>
            </w:pPr>
          </w:p>
        </w:tc>
        <w:tc>
          <w:tcPr>
            <w:tcW w:w="1907" w:type="dxa"/>
            <w:vAlign w:val="center"/>
          </w:tcPr>
          <w:p>
            <w:pPr>
              <w:spacing w:before="81" w:after="81"/>
              <w:ind w:firstLine="0"/>
              <w:rPr>
                <w:rFonts w:ascii="宋体" w:hAnsi="宋体"/>
              </w:rPr>
            </w:pPr>
            <w:r>
              <w:rPr>
                <w:rFonts w:hint="eastAsia" w:ascii="宋体" w:hAnsi="宋体"/>
              </w:rPr>
              <w:t>输液袋-接收核对</w:t>
            </w:r>
          </w:p>
        </w:tc>
        <w:tc>
          <w:tcPr>
            <w:tcW w:w="5937" w:type="dxa"/>
            <w:vAlign w:val="top"/>
          </w:tcPr>
          <w:p>
            <w:pPr>
              <w:spacing w:before="81" w:after="81"/>
              <w:ind w:firstLine="0"/>
              <w:rPr>
                <w:rFonts w:ascii="宋体" w:hAnsi="宋体"/>
              </w:rPr>
            </w:pPr>
            <w:r>
              <w:rPr>
                <w:rFonts w:hint="eastAsia" w:ascii="宋体" w:hAnsi="宋体"/>
              </w:rPr>
              <w:t>能够浏览各科室的输液卡配置情况、出仓情况、病区接收情况等；能够统计病区应接收、已接收、未接收数量以及对应的列表明细等核对功能。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437" w:type="dxa"/>
            <w:vMerge w:val="restart"/>
            <w:vAlign w:val="center"/>
          </w:tcPr>
          <w:p>
            <w:pPr>
              <w:spacing w:before="81" w:after="81"/>
              <w:ind w:firstLine="0"/>
              <w:jc w:val="center"/>
              <w:rPr>
                <w:rFonts w:hint="eastAsia" w:ascii="宋体" w:hAnsi="宋体"/>
              </w:rPr>
            </w:pPr>
            <w:r>
              <w:rPr>
                <w:rFonts w:hint="eastAsia" w:ascii="宋体" w:hAnsi="宋体"/>
              </w:rPr>
              <w:t>病区科室药物配置管理</w:t>
            </w:r>
          </w:p>
        </w:tc>
        <w:tc>
          <w:tcPr>
            <w:tcW w:w="1907" w:type="dxa"/>
            <w:vAlign w:val="center"/>
          </w:tcPr>
          <w:p>
            <w:pPr>
              <w:spacing w:before="81" w:after="81"/>
              <w:ind w:firstLine="0"/>
              <w:rPr>
                <w:rFonts w:ascii="宋体" w:hAnsi="宋体"/>
              </w:rPr>
            </w:pPr>
            <w:r>
              <w:rPr>
                <w:rFonts w:hint="eastAsia" w:ascii="宋体" w:hAnsi="宋体"/>
              </w:rPr>
              <w:t>药物卡-取药</w:t>
            </w:r>
          </w:p>
        </w:tc>
        <w:tc>
          <w:tcPr>
            <w:tcW w:w="5937" w:type="dxa"/>
            <w:vAlign w:val="top"/>
          </w:tcPr>
          <w:p>
            <w:pPr>
              <w:spacing w:before="81" w:after="81"/>
              <w:ind w:firstLine="0"/>
              <w:rPr>
                <w:rFonts w:ascii="宋体" w:hAnsi="宋体"/>
              </w:rPr>
            </w:pPr>
            <w:r>
              <w:rPr>
                <w:rFonts w:hint="eastAsia" w:ascii="宋体" w:hAnsi="宋体"/>
              </w:rPr>
              <w:t>通过扫码，对药物卡的药品进行取药登记；系统自动登记取药人、取药时间等。必要时提供药物取药核对流程。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437" w:type="dxa"/>
            <w:vMerge w:val="continue"/>
            <w:vAlign w:val="center"/>
          </w:tcPr>
          <w:p>
            <w:pPr>
              <w:spacing w:before="81" w:after="81"/>
              <w:ind w:firstLine="0"/>
              <w:jc w:val="left"/>
              <w:rPr>
                <w:rFonts w:ascii="宋体" w:hAnsi="宋体"/>
              </w:rPr>
            </w:pPr>
          </w:p>
        </w:tc>
        <w:tc>
          <w:tcPr>
            <w:tcW w:w="1907" w:type="dxa"/>
            <w:vAlign w:val="center"/>
          </w:tcPr>
          <w:p>
            <w:pPr>
              <w:spacing w:before="81" w:after="81"/>
              <w:ind w:firstLine="0"/>
              <w:rPr>
                <w:rFonts w:ascii="宋体" w:hAnsi="宋体"/>
              </w:rPr>
            </w:pPr>
            <w:r>
              <w:rPr>
                <w:rFonts w:hint="eastAsia" w:ascii="宋体" w:hAnsi="宋体"/>
              </w:rPr>
              <w:t>药物卡-配置</w:t>
            </w:r>
          </w:p>
        </w:tc>
        <w:tc>
          <w:tcPr>
            <w:tcW w:w="5937" w:type="dxa"/>
            <w:vAlign w:val="top"/>
          </w:tcPr>
          <w:p>
            <w:pPr>
              <w:spacing w:before="81" w:after="81"/>
              <w:ind w:firstLine="0"/>
              <w:rPr>
                <w:rFonts w:ascii="宋体" w:hAnsi="宋体"/>
              </w:rPr>
            </w:pPr>
            <w:r>
              <w:rPr>
                <w:rFonts w:hint="eastAsia" w:ascii="宋体" w:hAnsi="宋体"/>
              </w:rPr>
              <w:t>通过扫码，对药物卡的药品进行配置登记；系统自动登记配置人、配置开始、结束时间等。必要时提供药物配置开始登记、配置结束登记。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437" w:type="dxa"/>
            <w:vAlign w:val="center"/>
          </w:tcPr>
          <w:p>
            <w:pPr>
              <w:spacing w:before="81" w:after="81"/>
              <w:ind w:firstLine="0"/>
              <w:rPr>
                <w:rFonts w:ascii="宋体" w:hAnsi="宋体"/>
              </w:rPr>
            </w:pPr>
            <w:r>
              <w:rPr>
                <w:rFonts w:hint="eastAsia" w:ascii="宋体" w:hAnsi="宋体"/>
              </w:rPr>
              <w:t>条码跟踪</w:t>
            </w:r>
          </w:p>
        </w:tc>
        <w:tc>
          <w:tcPr>
            <w:tcW w:w="1907" w:type="dxa"/>
            <w:vAlign w:val="center"/>
          </w:tcPr>
          <w:p>
            <w:pPr>
              <w:spacing w:before="81" w:after="81"/>
              <w:ind w:firstLine="0"/>
              <w:rPr>
                <w:rFonts w:ascii="宋体" w:hAnsi="宋体"/>
              </w:rPr>
            </w:pPr>
            <w:r>
              <w:rPr>
                <w:rFonts w:hint="eastAsia" w:ascii="宋体" w:hAnsi="宋体"/>
              </w:rPr>
              <w:t>查询操作详情信息和药品明细列表</w:t>
            </w:r>
          </w:p>
        </w:tc>
        <w:tc>
          <w:tcPr>
            <w:tcW w:w="5937" w:type="dxa"/>
            <w:vAlign w:val="top"/>
          </w:tcPr>
          <w:p>
            <w:pPr>
              <w:spacing w:before="81" w:after="81"/>
              <w:ind w:firstLine="0"/>
              <w:rPr>
                <w:rFonts w:ascii="宋体" w:hAnsi="宋体"/>
              </w:rPr>
            </w:pPr>
            <w:r>
              <w:rPr>
                <w:rFonts w:hint="eastAsia" w:ascii="宋体" w:hAnsi="宋体"/>
              </w:rPr>
              <w:t>支持在任意操作登记界面的右上角点击搜索图标进入查询界面，通过扫码二维码查询条码对应的药品明细以及对应的操作记录。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437" w:type="dxa"/>
            <w:vMerge w:val="restart"/>
            <w:vAlign w:val="center"/>
          </w:tcPr>
          <w:p>
            <w:pPr>
              <w:spacing w:before="81" w:after="81"/>
              <w:ind w:firstLine="0"/>
              <w:rPr>
                <w:rFonts w:ascii="宋体" w:hAnsi="宋体"/>
              </w:rPr>
            </w:pPr>
            <w:r>
              <w:rPr>
                <w:rFonts w:hint="eastAsia" w:ascii="宋体" w:hAnsi="宋体"/>
              </w:rPr>
              <w:t>其他功能</w:t>
            </w:r>
          </w:p>
        </w:tc>
        <w:tc>
          <w:tcPr>
            <w:tcW w:w="1907" w:type="dxa"/>
            <w:vAlign w:val="center"/>
          </w:tcPr>
          <w:p>
            <w:pPr>
              <w:spacing w:before="81" w:after="81"/>
              <w:ind w:firstLine="0"/>
              <w:rPr>
                <w:rFonts w:hint="eastAsia" w:ascii="宋体" w:hAnsi="宋体"/>
              </w:rPr>
            </w:pPr>
            <w:r>
              <w:rPr>
                <w:rFonts w:hint="eastAsia" w:ascii="宋体" w:hAnsi="宋体"/>
              </w:rPr>
              <w:t>药物二维码扫码</w:t>
            </w:r>
          </w:p>
        </w:tc>
        <w:tc>
          <w:tcPr>
            <w:tcW w:w="5937" w:type="dxa"/>
            <w:vAlign w:val="top"/>
          </w:tcPr>
          <w:p>
            <w:pPr>
              <w:spacing w:before="81" w:after="81"/>
              <w:ind w:firstLine="0"/>
              <w:rPr>
                <w:rFonts w:hint="eastAsia" w:ascii="宋体" w:hAnsi="宋体"/>
              </w:rPr>
            </w:pPr>
            <w:r>
              <w:rPr>
                <w:rFonts w:hint="eastAsia" w:ascii="宋体" w:hAnsi="宋体"/>
              </w:rPr>
              <w:t>支持扫描药品二维码、手工录入二维码，满足上述各操作；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437" w:type="dxa"/>
            <w:vMerge w:val="continue"/>
            <w:vAlign w:val="center"/>
          </w:tcPr>
          <w:p>
            <w:pPr>
              <w:spacing w:before="81" w:after="81"/>
              <w:rPr>
                <w:rFonts w:ascii="宋体" w:hAnsi="宋体"/>
              </w:rPr>
            </w:pPr>
          </w:p>
        </w:tc>
        <w:tc>
          <w:tcPr>
            <w:tcW w:w="1907" w:type="dxa"/>
            <w:vAlign w:val="center"/>
          </w:tcPr>
          <w:p>
            <w:pPr>
              <w:spacing w:before="81" w:after="81"/>
              <w:ind w:firstLine="0"/>
              <w:rPr>
                <w:rFonts w:hint="eastAsia" w:ascii="宋体" w:hAnsi="宋体"/>
              </w:rPr>
            </w:pPr>
            <w:r>
              <w:rPr>
                <w:rFonts w:hint="eastAsia" w:ascii="宋体" w:hAnsi="宋体"/>
              </w:rPr>
              <w:t>药物卡药物明细浏览</w:t>
            </w:r>
          </w:p>
        </w:tc>
        <w:tc>
          <w:tcPr>
            <w:tcW w:w="5937" w:type="dxa"/>
            <w:vAlign w:val="top"/>
          </w:tcPr>
          <w:p>
            <w:pPr>
              <w:spacing w:before="81" w:after="81"/>
              <w:ind w:firstLine="0"/>
              <w:rPr>
                <w:rFonts w:hint="eastAsia" w:ascii="宋体" w:hAnsi="宋体"/>
              </w:rPr>
            </w:pPr>
            <w:r>
              <w:rPr>
                <w:rFonts w:hint="eastAsia" w:ascii="宋体" w:hAnsi="宋体"/>
              </w:rPr>
              <w:t>各操作流程中可浏览输液卡、药物卡的药物明细列表；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437" w:type="dxa"/>
            <w:vMerge w:val="continue"/>
            <w:vAlign w:val="center"/>
          </w:tcPr>
          <w:p>
            <w:pPr>
              <w:spacing w:before="81" w:after="81"/>
              <w:ind w:firstLine="0"/>
              <w:rPr>
                <w:rFonts w:ascii="宋体" w:hAnsi="宋体"/>
              </w:rPr>
            </w:pPr>
          </w:p>
        </w:tc>
        <w:tc>
          <w:tcPr>
            <w:tcW w:w="1907" w:type="dxa"/>
            <w:vAlign w:val="center"/>
          </w:tcPr>
          <w:p>
            <w:pPr>
              <w:spacing w:before="81" w:after="81"/>
              <w:ind w:firstLine="0"/>
              <w:rPr>
                <w:rFonts w:ascii="宋体" w:hAnsi="宋体"/>
              </w:rPr>
            </w:pPr>
            <w:r>
              <w:rPr>
                <w:rFonts w:hint="eastAsia" w:ascii="宋体" w:hAnsi="宋体"/>
              </w:rPr>
              <w:t>配置环节跟踪</w:t>
            </w:r>
          </w:p>
        </w:tc>
        <w:tc>
          <w:tcPr>
            <w:tcW w:w="5937" w:type="dxa"/>
            <w:vAlign w:val="top"/>
          </w:tcPr>
          <w:p>
            <w:pPr>
              <w:spacing w:before="81" w:after="81"/>
              <w:ind w:firstLine="0"/>
              <w:rPr>
                <w:rFonts w:ascii="宋体" w:hAnsi="宋体"/>
              </w:rPr>
            </w:pPr>
            <w:r>
              <w:rPr>
                <w:rFonts w:hint="eastAsia" w:ascii="宋体" w:hAnsi="宋体"/>
              </w:rPr>
              <w:t>支持按流程、日期、患者、床号、批次、条码等条件查询输液配置管理操作明细，可支持通过标签码值查看对应的操作详情信息和药品明细列表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437" w:type="dxa"/>
            <w:vMerge w:val="continue"/>
            <w:vAlign w:val="center"/>
          </w:tcPr>
          <w:p>
            <w:pPr>
              <w:spacing w:before="81" w:after="81"/>
              <w:ind w:firstLine="0"/>
              <w:rPr>
                <w:rFonts w:ascii="宋体" w:hAnsi="宋体"/>
              </w:rPr>
            </w:pPr>
          </w:p>
        </w:tc>
        <w:tc>
          <w:tcPr>
            <w:tcW w:w="1907" w:type="dxa"/>
            <w:vAlign w:val="center"/>
          </w:tcPr>
          <w:p>
            <w:pPr>
              <w:spacing w:before="81" w:after="81"/>
              <w:ind w:firstLine="0"/>
              <w:rPr>
                <w:rFonts w:ascii="宋体" w:hAnsi="宋体"/>
              </w:rPr>
            </w:pPr>
            <w:r>
              <w:rPr>
                <w:rFonts w:hint="eastAsia" w:ascii="宋体" w:hAnsi="宋体"/>
              </w:rPr>
              <w:t>药物配置查询</w:t>
            </w:r>
          </w:p>
        </w:tc>
        <w:tc>
          <w:tcPr>
            <w:tcW w:w="5937" w:type="dxa"/>
            <w:vAlign w:val="top"/>
          </w:tcPr>
          <w:p>
            <w:pPr>
              <w:spacing w:before="81" w:after="81"/>
              <w:ind w:firstLine="0"/>
              <w:rPr>
                <w:rFonts w:ascii="宋体" w:hAnsi="宋体"/>
              </w:rPr>
            </w:pPr>
            <w:r>
              <w:rPr>
                <w:rFonts w:hint="eastAsia" w:ascii="宋体" w:hAnsi="宋体"/>
              </w:rPr>
              <w:t>支持按流程、日期、患者、床号、批次、条码等条件查询科室药物配置操作明细，支持通过标签码值查看对应的操作详情信息和药品明细列表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437" w:type="dxa"/>
            <w:vMerge w:val="continue"/>
            <w:vAlign w:val="center"/>
          </w:tcPr>
          <w:p>
            <w:pPr>
              <w:spacing w:before="81" w:after="81"/>
              <w:ind w:firstLine="0"/>
              <w:rPr>
                <w:rFonts w:ascii="宋体" w:hAnsi="宋体"/>
              </w:rPr>
            </w:pPr>
          </w:p>
        </w:tc>
        <w:tc>
          <w:tcPr>
            <w:tcW w:w="1907" w:type="dxa"/>
            <w:vAlign w:val="center"/>
          </w:tcPr>
          <w:p>
            <w:pPr>
              <w:spacing w:before="81" w:after="81"/>
              <w:ind w:firstLine="0"/>
              <w:rPr>
                <w:rFonts w:ascii="宋体" w:hAnsi="宋体"/>
              </w:rPr>
            </w:pPr>
            <w:r>
              <w:rPr>
                <w:rFonts w:hint="eastAsia" w:ascii="宋体" w:hAnsi="宋体"/>
              </w:rPr>
              <w:t>屏幕倒转</w:t>
            </w:r>
          </w:p>
        </w:tc>
        <w:tc>
          <w:tcPr>
            <w:tcW w:w="5937" w:type="dxa"/>
            <w:vAlign w:val="top"/>
          </w:tcPr>
          <w:p>
            <w:pPr>
              <w:spacing w:before="81" w:after="81"/>
              <w:ind w:firstLine="0"/>
              <w:rPr>
                <w:rFonts w:ascii="宋体" w:hAnsi="宋体"/>
              </w:rPr>
            </w:pPr>
            <w:r>
              <w:rPr>
                <w:rFonts w:hint="eastAsia" w:ascii="宋体" w:hAnsi="宋体"/>
              </w:rPr>
              <w:t>支持屏幕倒转。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437" w:type="dxa"/>
            <w:vMerge w:val="continue"/>
            <w:vAlign w:val="center"/>
          </w:tcPr>
          <w:p>
            <w:pPr>
              <w:spacing w:before="81" w:after="81"/>
              <w:ind w:firstLine="0"/>
              <w:rPr>
                <w:rFonts w:ascii="宋体" w:hAnsi="宋体"/>
              </w:rPr>
            </w:pPr>
          </w:p>
        </w:tc>
        <w:tc>
          <w:tcPr>
            <w:tcW w:w="1907" w:type="dxa"/>
            <w:vAlign w:val="center"/>
          </w:tcPr>
          <w:p>
            <w:pPr>
              <w:spacing w:before="81" w:after="81"/>
              <w:ind w:firstLine="0"/>
              <w:rPr>
                <w:rFonts w:ascii="宋体" w:hAnsi="宋体"/>
              </w:rPr>
            </w:pPr>
            <w:r>
              <w:rPr>
                <w:rFonts w:hint="eastAsia" w:ascii="宋体" w:hAnsi="宋体"/>
              </w:rPr>
              <w:t>检查更新</w:t>
            </w:r>
          </w:p>
        </w:tc>
        <w:tc>
          <w:tcPr>
            <w:tcW w:w="5937" w:type="dxa"/>
            <w:vAlign w:val="top"/>
          </w:tcPr>
          <w:p>
            <w:pPr>
              <w:spacing w:before="81" w:after="81"/>
              <w:ind w:firstLine="0"/>
              <w:rPr>
                <w:rFonts w:ascii="宋体" w:hAnsi="宋体"/>
              </w:rPr>
            </w:pPr>
            <w:r>
              <w:rPr>
                <w:rFonts w:hint="eastAsia" w:ascii="宋体" w:hAnsi="宋体"/>
              </w:rPr>
              <w:t>支持检查app最新版本进行更新。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437" w:type="dxa"/>
            <w:vMerge w:val="continue"/>
            <w:vAlign w:val="center"/>
          </w:tcPr>
          <w:p>
            <w:pPr>
              <w:spacing w:before="81" w:after="81"/>
              <w:ind w:firstLine="0"/>
              <w:rPr>
                <w:rFonts w:ascii="宋体" w:hAnsi="宋体"/>
              </w:rPr>
            </w:pPr>
          </w:p>
        </w:tc>
        <w:tc>
          <w:tcPr>
            <w:tcW w:w="1907" w:type="dxa"/>
            <w:vAlign w:val="center"/>
          </w:tcPr>
          <w:p>
            <w:pPr>
              <w:spacing w:before="81" w:after="81"/>
              <w:ind w:firstLine="0"/>
              <w:rPr>
                <w:rFonts w:ascii="宋体" w:hAnsi="宋体"/>
              </w:rPr>
            </w:pPr>
            <w:r>
              <w:rPr>
                <w:rFonts w:hint="eastAsia" w:ascii="宋体" w:hAnsi="宋体"/>
              </w:rPr>
              <w:t>扫码登录</w:t>
            </w:r>
          </w:p>
        </w:tc>
        <w:tc>
          <w:tcPr>
            <w:tcW w:w="5937" w:type="dxa"/>
            <w:vAlign w:val="top"/>
          </w:tcPr>
          <w:p>
            <w:pPr>
              <w:spacing w:before="81" w:after="81"/>
              <w:ind w:firstLine="0"/>
              <w:rPr>
                <w:rFonts w:ascii="宋体" w:hAnsi="宋体"/>
              </w:rPr>
            </w:pPr>
            <w:r>
              <w:rPr>
                <w:rFonts w:hint="eastAsia" w:ascii="宋体" w:hAnsi="宋体"/>
              </w:rPr>
              <w:t>支持扫码员工二维码登录。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437" w:type="dxa"/>
            <w:vMerge w:val="continue"/>
            <w:vAlign w:val="center"/>
          </w:tcPr>
          <w:p>
            <w:pPr>
              <w:spacing w:before="81" w:after="81"/>
              <w:ind w:firstLine="0"/>
              <w:rPr>
                <w:rFonts w:ascii="宋体" w:hAnsi="宋体"/>
              </w:rPr>
            </w:pPr>
          </w:p>
        </w:tc>
        <w:tc>
          <w:tcPr>
            <w:tcW w:w="1907" w:type="dxa"/>
            <w:vAlign w:val="center"/>
          </w:tcPr>
          <w:p>
            <w:pPr>
              <w:spacing w:before="81" w:after="81"/>
              <w:ind w:firstLine="0"/>
              <w:rPr>
                <w:rFonts w:ascii="宋体" w:hAnsi="宋体"/>
              </w:rPr>
            </w:pPr>
            <w:r>
              <w:rPr>
                <w:rFonts w:hint="eastAsia" w:ascii="宋体" w:hAnsi="宋体"/>
              </w:rPr>
              <w:t>用户科室</w:t>
            </w:r>
          </w:p>
        </w:tc>
        <w:tc>
          <w:tcPr>
            <w:tcW w:w="5937" w:type="dxa"/>
            <w:vAlign w:val="top"/>
          </w:tcPr>
          <w:p>
            <w:pPr>
              <w:spacing w:before="81" w:after="81"/>
              <w:ind w:firstLine="0"/>
              <w:rPr>
                <w:rFonts w:ascii="宋体" w:hAnsi="宋体"/>
              </w:rPr>
            </w:pPr>
            <w:r>
              <w:rPr>
                <w:rFonts w:hint="eastAsia" w:ascii="宋体" w:hAnsi="宋体"/>
              </w:rPr>
              <w:t>支持用户切换科室，支持后台配置员工默认科室、默认事务、默认流程。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437" w:type="dxa"/>
            <w:vMerge w:val="restart"/>
            <w:vAlign w:val="center"/>
          </w:tcPr>
          <w:p>
            <w:pPr>
              <w:spacing w:before="81" w:after="81"/>
              <w:ind w:firstLine="0"/>
              <w:rPr>
                <w:rFonts w:ascii="宋体" w:hAnsi="宋体"/>
              </w:rPr>
            </w:pPr>
            <w:r>
              <w:rPr>
                <w:rFonts w:hint="eastAsia" w:ascii="宋体" w:hAnsi="宋体"/>
              </w:rPr>
              <w:t>系统接口</w:t>
            </w:r>
          </w:p>
        </w:tc>
        <w:tc>
          <w:tcPr>
            <w:tcW w:w="1907" w:type="dxa"/>
            <w:vAlign w:val="center"/>
          </w:tcPr>
          <w:p>
            <w:pPr>
              <w:spacing w:before="81" w:after="81"/>
              <w:ind w:firstLine="0"/>
              <w:rPr>
                <w:rFonts w:hint="eastAsia" w:ascii="宋体" w:hAnsi="宋体"/>
              </w:rPr>
            </w:pPr>
            <w:r>
              <w:rPr>
                <w:rFonts w:hint="eastAsia" w:ascii="宋体" w:hAnsi="宋体"/>
              </w:rPr>
              <w:t>HIS系统接口</w:t>
            </w:r>
          </w:p>
        </w:tc>
        <w:tc>
          <w:tcPr>
            <w:tcW w:w="5937" w:type="dxa"/>
            <w:vAlign w:val="top"/>
          </w:tcPr>
          <w:p>
            <w:pPr>
              <w:spacing w:before="81" w:after="81"/>
              <w:ind w:firstLine="0"/>
              <w:rPr>
                <w:rFonts w:hint="eastAsia" w:ascii="宋体" w:hAnsi="宋体"/>
              </w:rPr>
            </w:pPr>
            <w:r>
              <w:rPr>
                <w:rFonts w:hint="eastAsia" w:ascii="宋体" w:hAnsi="宋体"/>
              </w:rPr>
              <w:t>由HIS系统提供接口，与HIS系统实现实时数据交互，获取药物卡的药物明细数据，获取患者实时所属病区等；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437" w:type="dxa"/>
            <w:vMerge w:val="continue"/>
            <w:vAlign w:val="center"/>
          </w:tcPr>
          <w:p>
            <w:pPr>
              <w:spacing w:before="81" w:after="81"/>
              <w:rPr>
                <w:rFonts w:ascii="宋体" w:hAnsi="宋体"/>
              </w:rPr>
            </w:pPr>
          </w:p>
        </w:tc>
        <w:tc>
          <w:tcPr>
            <w:tcW w:w="1907" w:type="dxa"/>
            <w:vAlign w:val="center"/>
          </w:tcPr>
          <w:p>
            <w:pPr>
              <w:spacing w:before="81" w:after="81"/>
              <w:ind w:firstLine="0"/>
              <w:rPr>
                <w:rFonts w:hint="eastAsia" w:ascii="宋体" w:hAnsi="宋体"/>
              </w:rPr>
            </w:pPr>
            <w:r>
              <w:rPr>
                <w:rFonts w:hint="eastAsia" w:ascii="宋体" w:hAnsi="宋体"/>
              </w:rPr>
              <w:t>贴签机接口</w:t>
            </w:r>
          </w:p>
        </w:tc>
        <w:tc>
          <w:tcPr>
            <w:tcW w:w="5937" w:type="dxa"/>
            <w:vAlign w:val="top"/>
          </w:tcPr>
          <w:p>
            <w:pPr>
              <w:spacing w:before="81" w:after="81"/>
              <w:ind w:firstLine="0"/>
              <w:rPr>
                <w:rFonts w:hint="eastAsia" w:ascii="宋体" w:hAnsi="宋体"/>
              </w:rPr>
            </w:pPr>
            <w:r>
              <w:rPr>
                <w:rFonts w:hint="eastAsia" w:ascii="宋体" w:hAnsi="宋体"/>
              </w:rPr>
              <w:t>由贴签机提供接口，与贴签机实现实时数据交互，接收或获取贴签机的贴签记录；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437" w:type="dxa"/>
            <w:vMerge w:val="continue"/>
            <w:vAlign w:val="center"/>
          </w:tcPr>
          <w:p>
            <w:pPr>
              <w:spacing w:before="81" w:after="81"/>
              <w:ind w:firstLine="0"/>
              <w:rPr>
                <w:rFonts w:ascii="宋体" w:hAnsi="宋体"/>
              </w:rPr>
            </w:pPr>
          </w:p>
        </w:tc>
        <w:tc>
          <w:tcPr>
            <w:tcW w:w="1907" w:type="dxa"/>
            <w:vAlign w:val="center"/>
          </w:tcPr>
          <w:p>
            <w:pPr>
              <w:spacing w:before="81" w:after="81"/>
              <w:ind w:firstLine="0"/>
              <w:rPr>
                <w:rFonts w:hint="eastAsia" w:ascii="宋体" w:hAnsi="宋体"/>
              </w:rPr>
            </w:pPr>
            <w:r>
              <w:rPr>
                <w:rFonts w:hint="eastAsia" w:ascii="宋体" w:hAnsi="宋体"/>
              </w:rPr>
              <w:t>分拣机接口</w:t>
            </w:r>
          </w:p>
        </w:tc>
        <w:tc>
          <w:tcPr>
            <w:tcW w:w="5937" w:type="dxa"/>
            <w:vAlign w:val="top"/>
          </w:tcPr>
          <w:p>
            <w:pPr>
              <w:spacing w:before="81" w:after="81"/>
              <w:ind w:firstLine="0"/>
              <w:rPr>
                <w:rFonts w:hint="eastAsia" w:ascii="宋体" w:hAnsi="宋体"/>
              </w:rPr>
            </w:pPr>
            <w:r>
              <w:rPr>
                <w:rFonts w:hint="eastAsia" w:ascii="宋体" w:hAnsi="宋体"/>
              </w:rPr>
              <w:t>由分拣机提供接口，与分拣机实现实时数据交互，接收或获取分拣机的贴签记录；</w:t>
            </w:r>
          </w:p>
        </w:tc>
      </w:tr>
    </w:tbl>
    <w:p>
      <w:pPr>
        <w:pStyle w:val="16"/>
        <w:widowControl/>
        <w:snapToGrid w:val="0"/>
        <w:ind w:firstLine="0" w:firstLineChars="0"/>
        <w:jc w:val="left"/>
        <w:rPr>
          <w:rFonts w:ascii="仿宋_GB2312" w:hAnsi="等线" w:eastAsia="仿宋_GB2312" w:cs="黑体"/>
          <w:kern w:val="2"/>
          <w:sz w:val="28"/>
          <w:szCs w:val="28"/>
        </w:rPr>
      </w:pPr>
    </w:p>
    <w:p>
      <w:pPr>
        <w:pStyle w:val="5"/>
        <w:numPr>
          <w:ilvl w:val="0"/>
          <w:numId w:val="2"/>
        </w:numPr>
        <w:rPr>
          <w:rFonts w:hint="eastAsia"/>
          <w:sz w:val="28"/>
          <w:szCs w:val="28"/>
          <w:lang w:val="zh-CN" w:eastAsia="zh-CN"/>
        </w:rPr>
      </w:pPr>
      <w:r>
        <w:rPr>
          <w:rFonts w:hint="eastAsia"/>
          <w:sz w:val="28"/>
          <w:szCs w:val="28"/>
          <w:lang w:val="zh-CN" w:eastAsia="zh-CN"/>
        </w:rPr>
        <w:t>药物配置全流程管理系统-后台配置管理</w:t>
      </w:r>
    </w:p>
    <w:tbl>
      <w:tblPr>
        <w:tblW w:w="9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05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44" w:type="dxa"/>
            <w:gridSpan w:val="2"/>
            <w:vAlign w:val="center"/>
          </w:tcPr>
          <w:p>
            <w:pPr>
              <w:spacing w:before="81" w:after="81"/>
              <w:ind w:firstLine="0"/>
              <w:jc w:val="center"/>
              <w:rPr>
                <w:rFonts w:ascii="宋体" w:hAnsi="宋体"/>
                <w:b/>
                <w:bCs/>
              </w:rPr>
            </w:pPr>
            <w:r>
              <w:rPr>
                <w:rFonts w:hint="eastAsia" w:ascii="宋体" w:hAnsi="宋体"/>
                <w:b/>
                <w:bCs/>
              </w:rPr>
              <w:t>功能模块</w:t>
            </w:r>
          </w:p>
        </w:tc>
        <w:tc>
          <w:tcPr>
            <w:tcW w:w="5937" w:type="dxa"/>
            <w:vAlign w:val="center"/>
          </w:tcPr>
          <w:p>
            <w:pPr>
              <w:spacing w:before="81" w:after="81"/>
              <w:ind w:firstLine="0"/>
              <w:jc w:val="center"/>
              <w:rPr>
                <w:rFonts w:ascii="宋体" w:hAnsi="宋体"/>
                <w:b/>
                <w:bCs/>
              </w:rPr>
            </w:pPr>
            <w:r>
              <w:rPr>
                <w:rFonts w:hint="eastAsia" w:ascii="宋体" w:hAnsi="宋体"/>
                <w:b/>
                <w:bCs/>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290" w:type="dxa"/>
            <w:vMerge w:val="restart"/>
            <w:vAlign w:val="center"/>
          </w:tcPr>
          <w:p>
            <w:pPr>
              <w:spacing w:before="81" w:after="81"/>
              <w:ind w:firstLine="0"/>
              <w:rPr>
                <w:rFonts w:ascii="宋体" w:hAnsi="宋体"/>
              </w:rPr>
            </w:pPr>
            <w:r>
              <w:rPr>
                <w:rFonts w:hint="eastAsia" w:ascii="宋体" w:hAnsi="宋体"/>
              </w:rPr>
              <w:t>平台维护管理</w:t>
            </w:r>
          </w:p>
        </w:tc>
        <w:tc>
          <w:tcPr>
            <w:tcW w:w="2054" w:type="dxa"/>
            <w:vAlign w:val="center"/>
          </w:tcPr>
          <w:p>
            <w:pPr>
              <w:spacing w:before="81" w:after="81"/>
              <w:ind w:firstLine="0"/>
              <w:rPr>
                <w:rFonts w:ascii="宋体" w:hAnsi="宋体"/>
              </w:rPr>
            </w:pPr>
            <w:r>
              <w:rPr>
                <w:rFonts w:hint="eastAsia" w:ascii="宋体" w:hAnsi="宋体"/>
              </w:rPr>
              <w:t>员工维护</w:t>
            </w:r>
          </w:p>
        </w:tc>
        <w:tc>
          <w:tcPr>
            <w:tcW w:w="5937" w:type="dxa"/>
            <w:vAlign w:val="top"/>
          </w:tcPr>
          <w:p>
            <w:pPr>
              <w:spacing w:before="81" w:after="81"/>
              <w:ind w:firstLine="0"/>
              <w:rPr>
                <w:rFonts w:ascii="宋体" w:hAnsi="宋体"/>
              </w:rPr>
            </w:pPr>
            <w:r>
              <w:rPr>
                <w:rFonts w:hint="eastAsia" w:ascii="宋体" w:hAnsi="宋体"/>
              </w:rPr>
              <w:t>员工工号、员工名称、默认事务、默认流程、默认科室维护，可对接HIS系统。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290" w:type="dxa"/>
            <w:vMerge w:val="continue"/>
            <w:vAlign w:val="center"/>
          </w:tcPr>
          <w:p>
            <w:pPr>
              <w:spacing w:before="81" w:after="81"/>
              <w:ind w:firstLine="0"/>
              <w:rPr>
                <w:rFonts w:ascii="宋体" w:hAnsi="宋体"/>
              </w:rPr>
            </w:pPr>
          </w:p>
        </w:tc>
        <w:tc>
          <w:tcPr>
            <w:tcW w:w="2054" w:type="dxa"/>
            <w:vAlign w:val="center"/>
          </w:tcPr>
          <w:p>
            <w:pPr>
              <w:spacing w:before="81" w:after="81"/>
              <w:ind w:firstLine="0"/>
              <w:rPr>
                <w:rFonts w:ascii="宋体" w:hAnsi="宋体"/>
              </w:rPr>
            </w:pPr>
            <w:r>
              <w:rPr>
                <w:rFonts w:hint="eastAsia" w:ascii="宋体" w:hAnsi="宋体"/>
              </w:rPr>
              <w:t>角色及权限</w:t>
            </w:r>
          </w:p>
        </w:tc>
        <w:tc>
          <w:tcPr>
            <w:tcW w:w="5937" w:type="dxa"/>
            <w:vAlign w:val="top"/>
          </w:tcPr>
          <w:p>
            <w:pPr>
              <w:spacing w:before="81" w:after="81"/>
              <w:ind w:firstLine="0"/>
              <w:rPr>
                <w:rFonts w:ascii="宋体" w:hAnsi="宋体"/>
              </w:rPr>
            </w:pPr>
            <w:r>
              <w:rPr>
                <w:rFonts w:hint="eastAsia" w:ascii="宋体" w:hAnsi="宋体"/>
              </w:rPr>
              <w:t>维护角色信息及角色对应的操作权限。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290" w:type="dxa"/>
            <w:vMerge w:val="continue"/>
            <w:vAlign w:val="center"/>
          </w:tcPr>
          <w:p>
            <w:pPr>
              <w:spacing w:before="81" w:after="81"/>
              <w:ind w:firstLine="0"/>
              <w:rPr>
                <w:rFonts w:ascii="宋体" w:hAnsi="宋体"/>
              </w:rPr>
            </w:pPr>
          </w:p>
        </w:tc>
        <w:tc>
          <w:tcPr>
            <w:tcW w:w="2054" w:type="dxa"/>
            <w:vAlign w:val="center"/>
          </w:tcPr>
          <w:p>
            <w:pPr>
              <w:spacing w:before="81" w:after="81"/>
              <w:ind w:firstLine="0"/>
              <w:rPr>
                <w:rFonts w:ascii="宋体" w:hAnsi="宋体"/>
              </w:rPr>
            </w:pPr>
            <w:r>
              <w:rPr>
                <w:rFonts w:hint="eastAsia" w:ascii="宋体" w:hAnsi="宋体"/>
              </w:rPr>
              <w:t>管理员维护</w:t>
            </w:r>
          </w:p>
        </w:tc>
        <w:tc>
          <w:tcPr>
            <w:tcW w:w="5937" w:type="dxa"/>
            <w:vAlign w:val="top"/>
          </w:tcPr>
          <w:p>
            <w:pPr>
              <w:spacing w:before="81" w:after="81"/>
              <w:ind w:firstLine="0"/>
              <w:rPr>
                <w:rFonts w:ascii="宋体" w:hAnsi="宋体"/>
              </w:rPr>
            </w:pPr>
            <w:r>
              <w:rPr>
                <w:rFonts w:hint="eastAsia" w:ascii="宋体" w:hAnsi="宋体"/>
              </w:rPr>
              <w:t>维护角色为管理员的操作人员信息，可根据某个管理员单独配置操作权限。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290" w:type="dxa"/>
            <w:vMerge w:val="continue"/>
            <w:vAlign w:val="center"/>
          </w:tcPr>
          <w:p>
            <w:pPr>
              <w:spacing w:before="81" w:after="81"/>
              <w:ind w:firstLine="0"/>
              <w:rPr>
                <w:rFonts w:ascii="宋体" w:hAnsi="宋体"/>
              </w:rPr>
            </w:pPr>
          </w:p>
        </w:tc>
        <w:tc>
          <w:tcPr>
            <w:tcW w:w="2054" w:type="dxa"/>
            <w:vAlign w:val="center"/>
          </w:tcPr>
          <w:p>
            <w:pPr>
              <w:spacing w:before="81" w:after="81"/>
              <w:ind w:firstLine="0"/>
              <w:rPr>
                <w:rFonts w:ascii="宋体" w:hAnsi="宋体"/>
              </w:rPr>
            </w:pPr>
            <w:r>
              <w:rPr>
                <w:rFonts w:hint="eastAsia" w:ascii="宋体" w:hAnsi="宋体"/>
              </w:rPr>
              <w:t>登录记录查询</w:t>
            </w:r>
          </w:p>
        </w:tc>
        <w:tc>
          <w:tcPr>
            <w:tcW w:w="5937" w:type="dxa"/>
            <w:vAlign w:val="top"/>
          </w:tcPr>
          <w:p>
            <w:pPr>
              <w:spacing w:before="81" w:after="81"/>
              <w:ind w:firstLine="0"/>
              <w:rPr>
                <w:rFonts w:ascii="宋体" w:hAnsi="宋体"/>
              </w:rPr>
            </w:pPr>
            <w:r>
              <w:rPr>
                <w:rFonts w:hint="eastAsia" w:ascii="宋体" w:hAnsi="宋体"/>
              </w:rPr>
              <w:t>支持用户登录日志查看，可查看用户登录时间、用户名称、用户IP等信息。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290" w:type="dxa"/>
            <w:vMerge w:val="continue"/>
            <w:vAlign w:val="center"/>
          </w:tcPr>
          <w:p>
            <w:pPr>
              <w:spacing w:before="81" w:after="81"/>
              <w:ind w:firstLine="0"/>
              <w:rPr>
                <w:rFonts w:ascii="宋体" w:hAnsi="宋体"/>
              </w:rPr>
            </w:pPr>
          </w:p>
        </w:tc>
        <w:tc>
          <w:tcPr>
            <w:tcW w:w="2054" w:type="dxa"/>
            <w:vAlign w:val="center"/>
          </w:tcPr>
          <w:p>
            <w:pPr>
              <w:spacing w:before="81" w:after="81"/>
              <w:ind w:firstLine="0"/>
              <w:rPr>
                <w:rFonts w:ascii="宋体" w:hAnsi="宋体"/>
              </w:rPr>
            </w:pPr>
            <w:r>
              <w:rPr>
                <w:rFonts w:hint="eastAsia" w:ascii="宋体" w:hAnsi="宋体"/>
              </w:rPr>
              <w:t>事务维护</w:t>
            </w:r>
          </w:p>
        </w:tc>
        <w:tc>
          <w:tcPr>
            <w:tcW w:w="5937" w:type="dxa"/>
            <w:vAlign w:val="top"/>
          </w:tcPr>
          <w:p>
            <w:pPr>
              <w:spacing w:before="81" w:after="81"/>
              <w:ind w:firstLine="0"/>
              <w:rPr>
                <w:rFonts w:ascii="宋体" w:hAnsi="宋体"/>
              </w:rPr>
            </w:pPr>
            <w:r>
              <w:rPr>
                <w:rFonts w:hint="eastAsia" w:ascii="宋体" w:hAnsi="宋体"/>
              </w:rPr>
              <w:t>能够维护事务信息，可配置事务请求接口，需要从</w:t>
            </w:r>
            <w:r>
              <w:rPr>
                <w:rFonts w:ascii="宋体" w:hAnsi="宋体"/>
              </w:rPr>
              <w:t>his获取相关接口数据</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290" w:type="dxa"/>
            <w:vMerge w:val="continue"/>
            <w:vAlign w:val="center"/>
          </w:tcPr>
          <w:p>
            <w:pPr>
              <w:spacing w:before="81" w:after="81"/>
              <w:ind w:firstLine="0"/>
              <w:rPr>
                <w:rFonts w:ascii="宋体" w:hAnsi="宋体"/>
              </w:rPr>
            </w:pPr>
          </w:p>
        </w:tc>
        <w:tc>
          <w:tcPr>
            <w:tcW w:w="2054" w:type="dxa"/>
            <w:vAlign w:val="center"/>
          </w:tcPr>
          <w:p>
            <w:pPr>
              <w:spacing w:before="81" w:after="81"/>
              <w:ind w:firstLine="0"/>
              <w:rPr>
                <w:rFonts w:ascii="宋体" w:hAnsi="宋体"/>
              </w:rPr>
            </w:pPr>
            <w:r>
              <w:rPr>
                <w:rFonts w:hint="eastAsia" w:ascii="宋体" w:hAnsi="宋体"/>
              </w:rPr>
              <w:t>工作流程配置</w:t>
            </w:r>
          </w:p>
        </w:tc>
        <w:tc>
          <w:tcPr>
            <w:tcW w:w="5937" w:type="dxa"/>
            <w:vAlign w:val="top"/>
          </w:tcPr>
          <w:p>
            <w:pPr>
              <w:spacing w:before="81" w:after="81"/>
              <w:ind w:firstLine="0"/>
              <w:rPr>
                <w:rFonts w:ascii="宋体" w:hAnsi="宋体"/>
              </w:rPr>
            </w:pPr>
            <w:r>
              <w:rPr>
                <w:rFonts w:hint="eastAsia" w:ascii="宋体" w:hAnsi="宋体"/>
              </w:rPr>
              <w:t>根据事务配置事务对应的工作流程，维护工作流程信息及工作流程对应的操作步骤信息；</w:t>
            </w:r>
          </w:p>
          <w:p>
            <w:pPr>
              <w:spacing w:before="81" w:after="81"/>
              <w:ind w:firstLine="0"/>
              <w:rPr>
                <w:rFonts w:ascii="宋体" w:hAnsi="宋体"/>
              </w:rPr>
            </w:pPr>
            <w:r>
              <w:rPr>
                <w:rFonts w:hint="eastAsia" w:ascii="宋体" w:hAnsi="宋体"/>
              </w:rPr>
              <w:t>工作流程支持配置对应的</w:t>
            </w:r>
            <w:r>
              <w:rPr>
                <w:rFonts w:ascii="宋体" w:hAnsi="宋体"/>
              </w:rPr>
              <w:t>界面样式</w:t>
            </w:r>
            <w:r>
              <w:rPr>
                <w:rFonts w:hint="eastAsia" w:ascii="宋体" w:hAnsi="宋体"/>
              </w:rPr>
              <w:t>；</w:t>
            </w:r>
          </w:p>
          <w:p>
            <w:pPr>
              <w:spacing w:before="81" w:after="81"/>
              <w:ind w:firstLine="0"/>
              <w:rPr>
                <w:rFonts w:ascii="宋体" w:hAnsi="宋体"/>
              </w:rPr>
            </w:pPr>
            <w:r>
              <w:rPr>
                <w:rFonts w:hint="eastAsia" w:ascii="宋体" w:hAnsi="宋体"/>
              </w:rPr>
              <w:t>操作步骤支持配置对应的</w:t>
            </w:r>
            <w:r>
              <w:rPr>
                <w:rFonts w:ascii="宋体" w:hAnsi="宋体"/>
              </w:rPr>
              <w:t>界面样式</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290" w:type="dxa"/>
            <w:vMerge w:val="continue"/>
            <w:vAlign w:val="center"/>
          </w:tcPr>
          <w:p>
            <w:pPr>
              <w:spacing w:before="81" w:after="81"/>
              <w:ind w:firstLine="0"/>
              <w:rPr>
                <w:rFonts w:ascii="宋体" w:hAnsi="宋体"/>
              </w:rPr>
            </w:pPr>
            <w:r>
              <w:rPr>
                <w:rFonts w:hint="eastAsia" w:ascii="宋体" w:hAnsi="宋体"/>
              </w:rPr>
              <w:t>操作事务查询</w:t>
            </w:r>
          </w:p>
        </w:tc>
        <w:tc>
          <w:tcPr>
            <w:tcW w:w="2054" w:type="dxa"/>
            <w:tcBorders>
              <w:top w:val="single" w:color="auto" w:sz="4" w:space="0"/>
              <w:left w:val="single" w:color="auto" w:sz="4" w:space="0"/>
              <w:bottom w:val="single" w:color="auto" w:sz="4" w:space="0"/>
              <w:right w:val="single" w:color="auto" w:sz="4" w:space="0"/>
            </w:tcBorders>
            <w:vAlign w:val="center"/>
          </w:tcPr>
          <w:p>
            <w:pPr>
              <w:spacing w:before="81" w:after="81"/>
              <w:ind w:firstLine="0"/>
              <w:rPr>
                <w:rFonts w:ascii="宋体" w:hAnsi="宋体"/>
              </w:rPr>
            </w:pPr>
            <w:r>
              <w:rPr>
                <w:rFonts w:hint="eastAsia" w:ascii="宋体" w:hAnsi="宋体"/>
              </w:rPr>
              <w:t>操作事务查询</w:t>
            </w:r>
          </w:p>
        </w:tc>
        <w:tc>
          <w:tcPr>
            <w:tcW w:w="5937" w:type="dxa"/>
            <w:tcBorders>
              <w:top w:val="single" w:color="auto" w:sz="4" w:space="0"/>
              <w:left w:val="single" w:color="auto" w:sz="4" w:space="0"/>
              <w:bottom w:val="single" w:color="auto" w:sz="4" w:space="0"/>
              <w:right w:val="single" w:color="auto" w:sz="4" w:space="0"/>
            </w:tcBorders>
            <w:vAlign w:val="top"/>
          </w:tcPr>
          <w:p>
            <w:pPr>
              <w:spacing w:before="81" w:after="81"/>
              <w:ind w:firstLine="0"/>
              <w:rPr>
                <w:rFonts w:ascii="宋体" w:hAnsi="宋体"/>
              </w:rPr>
            </w:pPr>
            <w:r>
              <w:rPr>
                <w:rFonts w:hint="eastAsia" w:ascii="宋体" w:hAnsi="宋体"/>
              </w:rPr>
              <w:t>支持按流程名称、标签码值、操作时间等条件查询具体操作信息，支持按点击标签码值查看标签码值对应的操作详情信息和药品明细列表。</w:t>
            </w:r>
          </w:p>
        </w:tc>
      </w:tr>
    </w:tbl>
    <w:p>
      <w:pPr>
        <w:pStyle w:val="5"/>
        <w:numPr>
          <w:ilvl w:val="0"/>
          <w:numId w:val="2"/>
        </w:numPr>
        <w:rPr>
          <w:rFonts w:hint="eastAsia"/>
          <w:sz w:val="28"/>
          <w:szCs w:val="28"/>
          <w:lang w:val="zh-CN" w:eastAsia="zh-CN"/>
        </w:rPr>
      </w:pPr>
      <w:r>
        <w:rPr>
          <w:rFonts w:hint="eastAsia"/>
          <w:sz w:val="28"/>
          <w:szCs w:val="28"/>
          <w:lang w:val="zh-CN" w:eastAsia="zh-CN"/>
        </w:rPr>
        <w:t>输液配置全流程管理系统-BI分析</w:t>
      </w:r>
    </w:p>
    <w:tbl>
      <w:tblPr>
        <w:tblW w:w="9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05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44" w:type="dxa"/>
            <w:gridSpan w:val="2"/>
            <w:vAlign w:val="center"/>
          </w:tcPr>
          <w:p>
            <w:pPr>
              <w:spacing w:before="81" w:after="81"/>
              <w:ind w:firstLine="0"/>
              <w:jc w:val="center"/>
              <w:rPr>
                <w:rFonts w:ascii="宋体" w:hAnsi="宋体"/>
                <w:b/>
                <w:bCs/>
              </w:rPr>
            </w:pPr>
            <w:r>
              <w:rPr>
                <w:rFonts w:hint="eastAsia" w:ascii="宋体" w:hAnsi="宋体"/>
                <w:b/>
                <w:bCs/>
              </w:rPr>
              <w:t>功能模块</w:t>
            </w:r>
          </w:p>
        </w:tc>
        <w:tc>
          <w:tcPr>
            <w:tcW w:w="5937" w:type="dxa"/>
            <w:vAlign w:val="center"/>
          </w:tcPr>
          <w:p>
            <w:pPr>
              <w:spacing w:before="81" w:after="81"/>
              <w:ind w:firstLine="0"/>
              <w:jc w:val="center"/>
              <w:rPr>
                <w:rFonts w:ascii="宋体" w:hAnsi="宋体"/>
                <w:b/>
                <w:bCs/>
              </w:rPr>
            </w:pPr>
            <w:r>
              <w:rPr>
                <w:rFonts w:hint="eastAsia" w:ascii="宋体" w:hAnsi="宋体"/>
                <w:b/>
                <w:bCs/>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290" w:type="dxa"/>
            <w:vMerge w:val="restart"/>
            <w:vAlign w:val="center"/>
          </w:tcPr>
          <w:p>
            <w:pPr>
              <w:spacing w:before="81" w:after="81"/>
              <w:ind w:firstLine="0"/>
              <w:rPr>
                <w:rFonts w:ascii="宋体" w:hAnsi="宋体"/>
              </w:rPr>
            </w:pPr>
            <w:r>
              <w:rPr>
                <w:rFonts w:hint="eastAsia" w:ascii="宋体" w:hAnsi="宋体"/>
              </w:rPr>
              <w:t>实时查询统计</w:t>
            </w:r>
          </w:p>
        </w:tc>
        <w:tc>
          <w:tcPr>
            <w:tcW w:w="2054" w:type="dxa"/>
            <w:vAlign w:val="center"/>
          </w:tcPr>
          <w:p>
            <w:pPr>
              <w:spacing w:before="81" w:after="81"/>
              <w:ind w:firstLine="0"/>
              <w:rPr>
                <w:rFonts w:ascii="宋体" w:hAnsi="宋体"/>
              </w:rPr>
            </w:pPr>
            <w:r>
              <w:rPr>
                <w:rFonts w:hint="eastAsia" w:ascii="宋体" w:hAnsi="宋体"/>
              </w:rPr>
              <w:t>操作信息挖掘</w:t>
            </w:r>
          </w:p>
        </w:tc>
        <w:tc>
          <w:tcPr>
            <w:tcW w:w="5937" w:type="dxa"/>
            <w:vAlign w:val="top"/>
          </w:tcPr>
          <w:p>
            <w:pPr>
              <w:spacing w:before="81" w:after="81"/>
              <w:ind w:firstLine="0"/>
              <w:rPr>
                <w:rFonts w:ascii="宋体" w:hAnsi="宋体"/>
              </w:rPr>
            </w:pPr>
            <w:r>
              <w:rPr>
                <w:rFonts w:hint="eastAsia" w:ascii="宋体" w:hAnsi="宋体"/>
              </w:rPr>
              <w:t>支持按操作时间、事务、科室等条件查询各员工在选择的事务上每个流程的登记次数，支持按点击员工某流程快捷查看本员工操作明细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290" w:type="dxa"/>
            <w:vMerge w:val="continue"/>
            <w:vAlign w:val="center"/>
          </w:tcPr>
          <w:p>
            <w:pPr>
              <w:spacing w:before="81" w:after="81"/>
              <w:ind w:firstLine="0"/>
              <w:rPr>
                <w:rFonts w:ascii="宋体" w:hAnsi="宋体"/>
              </w:rPr>
            </w:pPr>
          </w:p>
        </w:tc>
        <w:tc>
          <w:tcPr>
            <w:tcW w:w="2054" w:type="dxa"/>
            <w:vAlign w:val="center"/>
          </w:tcPr>
          <w:p>
            <w:pPr>
              <w:spacing w:before="81" w:after="81"/>
              <w:ind w:firstLine="0"/>
              <w:rPr>
                <w:rFonts w:ascii="宋体" w:hAnsi="宋体"/>
              </w:rPr>
            </w:pPr>
            <w:r>
              <w:rPr>
                <w:rFonts w:hint="eastAsia" w:ascii="宋体" w:hAnsi="宋体"/>
              </w:rPr>
              <w:t>操作明细查询</w:t>
            </w:r>
          </w:p>
        </w:tc>
        <w:tc>
          <w:tcPr>
            <w:tcW w:w="5937" w:type="dxa"/>
            <w:vAlign w:val="top"/>
          </w:tcPr>
          <w:p>
            <w:pPr>
              <w:spacing w:before="81" w:after="81"/>
              <w:ind w:firstLine="0"/>
              <w:rPr>
                <w:rFonts w:ascii="宋体" w:hAnsi="宋体"/>
              </w:rPr>
            </w:pPr>
            <w:r>
              <w:rPr>
                <w:rFonts w:hint="eastAsia" w:ascii="宋体" w:hAnsi="宋体"/>
              </w:rPr>
              <w:t>支持按操作时间、事务、操作、科室等条件查询具体操作信息，支持点击码值查看码值对应的药品明细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290" w:type="dxa"/>
            <w:vMerge w:val="restart"/>
            <w:vAlign w:val="center"/>
          </w:tcPr>
          <w:p>
            <w:pPr>
              <w:spacing w:before="81" w:after="81"/>
              <w:ind w:firstLine="0"/>
              <w:rPr>
                <w:rFonts w:ascii="宋体" w:hAnsi="宋体"/>
              </w:rPr>
            </w:pPr>
            <w:r>
              <w:rPr>
                <w:rFonts w:hint="eastAsia" w:ascii="宋体" w:hAnsi="宋体"/>
              </w:rPr>
              <w:t>运营分析-配置分析</w:t>
            </w:r>
          </w:p>
        </w:tc>
        <w:tc>
          <w:tcPr>
            <w:tcW w:w="2054" w:type="dxa"/>
            <w:vAlign w:val="center"/>
          </w:tcPr>
          <w:p>
            <w:pPr>
              <w:spacing w:before="81" w:after="81"/>
              <w:ind w:firstLine="0"/>
              <w:rPr>
                <w:rFonts w:ascii="宋体" w:hAnsi="宋体"/>
              </w:rPr>
            </w:pPr>
            <w:r>
              <w:rPr>
                <w:rFonts w:hint="eastAsia" w:ascii="宋体" w:hAnsi="宋体"/>
              </w:rPr>
              <w:t>静配数量挖掘</w:t>
            </w:r>
          </w:p>
        </w:tc>
        <w:tc>
          <w:tcPr>
            <w:tcW w:w="5937" w:type="dxa"/>
            <w:vAlign w:val="top"/>
          </w:tcPr>
          <w:p>
            <w:pPr>
              <w:spacing w:before="81" w:after="81"/>
              <w:ind w:firstLine="0"/>
              <w:rPr>
                <w:rFonts w:ascii="宋体" w:hAnsi="宋体"/>
              </w:rPr>
            </w:pPr>
            <w:r>
              <w:rPr>
                <w:rFonts w:hint="eastAsia" w:ascii="宋体" w:hAnsi="宋体"/>
              </w:rPr>
              <w:t>支持按数据类型（按月份、按日）、日期（按月份只可选择月份、按日可选择到日）查询数量统计，支持统计图、详细表格切换，支持多层数据挖掘，可以从数量统计进入（配置/使用）科室分析，从（配置/使用）科室分析进入（配置/使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290" w:type="dxa"/>
            <w:vMerge w:val="continue"/>
            <w:vAlign w:val="center"/>
          </w:tcPr>
          <w:p>
            <w:pPr>
              <w:spacing w:before="81" w:after="81"/>
              <w:ind w:firstLine="0"/>
              <w:rPr>
                <w:rFonts w:ascii="宋体" w:hAnsi="宋体"/>
              </w:rPr>
            </w:pPr>
          </w:p>
        </w:tc>
        <w:tc>
          <w:tcPr>
            <w:tcW w:w="2054" w:type="dxa"/>
            <w:vAlign w:val="center"/>
          </w:tcPr>
          <w:p>
            <w:pPr>
              <w:spacing w:before="81" w:after="81"/>
              <w:ind w:firstLine="0"/>
              <w:rPr>
                <w:rFonts w:ascii="宋体" w:hAnsi="宋体"/>
              </w:rPr>
            </w:pPr>
            <w:r>
              <w:rPr>
                <w:rFonts w:hint="eastAsia" w:ascii="宋体" w:hAnsi="宋体"/>
              </w:rPr>
              <w:t>输液卡信息挖掘（按配置科室信息分析）</w:t>
            </w:r>
          </w:p>
        </w:tc>
        <w:tc>
          <w:tcPr>
            <w:tcW w:w="5937" w:type="dxa"/>
            <w:vAlign w:val="top"/>
          </w:tcPr>
          <w:p>
            <w:pPr>
              <w:spacing w:before="81" w:after="81"/>
              <w:ind w:firstLine="0"/>
              <w:rPr>
                <w:rFonts w:ascii="宋体" w:hAnsi="宋体"/>
              </w:rPr>
            </w:pPr>
            <w:r>
              <w:rPr>
                <w:rFonts w:hint="eastAsia" w:ascii="宋体" w:hAnsi="宋体"/>
              </w:rPr>
              <w:t>支持按日期、按配置科室、按使用科室、科室查询科室药物详情，支持统计图、详细表格切换，支持多层数据挖掘，可以点击柱状图上某个科室进入（配置/使用）清单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290" w:type="dxa"/>
            <w:vMerge w:val="continue"/>
            <w:vAlign w:val="center"/>
          </w:tcPr>
          <w:p>
            <w:pPr>
              <w:spacing w:before="81" w:after="81"/>
              <w:ind w:firstLine="0"/>
              <w:rPr>
                <w:rFonts w:ascii="宋体" w:hAnsi="宋体"/>
              </w:rPr>
            </w:pPr>
          </w:p>
        </w:tc>
        <w:tc>
          <w:tcPr>
            <w:tcW w:w="2054" w:type="dxa"/>
            <w:vAlign w:val="center"/>
          </w:tcPr>
          <w:p>
            <w:pPr>
              <w:spacing w:before="81" w:after="81"/>
              <w:ind w:firstLine="0"/>
              <w:rPr>
                <w:rFonts w:ascii="宋体" w:hAnsi="宋体"/>
              </w:rPr>
            </w:pPr>
            <w:r>
              <w:rPr>
                <w:rFonts w:hint="eastAsia" w:ascii="宋体" w:hAnsi="宋体"/>
              </w:rPr>
              <w:t>输液卡信息清单（按配置科室分析）</w:t>
            </w:r>
          </w:p>
        </w:tc>
        <w:tc>
          <w:tcPr>
            <w:tcW w:w="5937" w:type="dxa"/>
            <w:vAlign w:val="top"/>
          </w:tcPr>
          <w:p>
            <w:pPr>
              <w:spacing w:before="81" w:after="81"/>
              <w:ind w:firstLine="0"/>
              <w:rPr>
                <w:rFonts w:ascii="宋体" w:hAnsi="宋体"/>
              </w:rPr>
            </w:pPr>
            <w:r>
              <w:rPr>
                <w:rFonts w:hint="eastAsia" w:ascii="宋体" w:hAnsi="宋体"/>
              </w:rPr>
              <w:t xml:space="preserve">支持按日期、按配置科室、按使用科室、药品名称（支持多选）、病人姓名、床号查询配置/使用清单，支持多层数据挖掘，可以点击标签码值查看标签码值对应的药品明细列表、操作明细列表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290" w:type="dxa"/>
            <w:vMerge w:val="continue"/>
            <w:vAlign w:val="center"/>
          </w:tcPr>
          <w:p>
            <w:pPr>
              <w:spacing w:before="81" w:after="81"/>
              <w:ind w:firstLine="0"/>
              <w:rPr>
                <w:rFonts w:ascii="宋体" w:hAnsi="宋体"/>
              </w:rPr>
            </w:pPr>
          </w:p>
        </w:tc>
        <w:tc>
          <w:tcPr>
            <w:tcW w:w="2054" w:type="dxa"/>
            <w:vAlign w:val="center"/>
          </w:tcPr>
          <w:p>
            <w:pPr>
              <w:spacing w:before="81" w:after="81"/>
              <w:ind w:firstLine="0"/>
              <w:rPr>
                <w:rFonts w:ascii="宋体" w:hAnsi="宋体"/>
              </w:rPr>
            </w:pPr>
            <w:r>
              <w:rPr>
                <w:rFonts w:hint="eastAsia" w:ascii="宋体" w:hAnsi="宋体"/>
              </w:rPr>
              <w:t>输液卡信息挖掘（按使用科室信息分析）</w:t>
            </w:r>
          </w:p>
        </w:tc>
        <w:tc>
          <w:tcPr>
            <w:tcW w:w="5937" w:type="dxa"/>
            <w:vAlign w:val="top"/>
          </w:tcPr>
          <w:p>
            <w:pPr>
              <w:spacing w:before="81" w:after="81"/>
              <w:ind w:firstLine="0"/>
              <w:rPr>
                <w:rFonts w:ascii="宋体" w:hAnsi="宋体"/>
              </w:rPr>
            </w:pPr>
            <w:r>
              <w:rPr>
                <w:rFonts w:hint="eastAsia" w:ascii="宋体" w:hAnsi="宋体"/>
              </w:rPr>
              <w:t>支持按日期、按配置科室、按使用科室、科室查询科室药物详情，支持统计图、详细表格切换，支持多层数据挖掘，可以点击柱状图上某个科室进入（配置/使用）清单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290" w:type="dxa"/>
            <w:vMerge w:val="continue"/>
            <w:vAlign w:val="center"/>
          </w:tcPr>
          <w:p>
            <w:pPr>
              <w:spacing w:before="81" w:after="81"/>
              <w:ind w:firstLine="0"/>
              <w:rPr>
                <w:rFonts w:ascii="宋体" w:hAnsi="宋体"/>
              </w:rPr>
            </w:pPr>
          </w:p>
        </w:tc>
        <w:tc>
          <w:tcPr>
            <w:tcW w:w="2054" w:type="dxa"/>
            <w:vAlign w:val="center"/>
          </w:tcPr>
          <w:p>
            <w:pPr>
              <w:spacing w:before="81" w:after="81"/>
              <w:ind w:firstLine="0"/>
              <w:rPr>
                <w:rFonts w:ascii="宋体" w:hAnsi="宋体"/>
              </w:rPr>
            </w:pPr>
            <w:r>
              <w:rPr>
                <w:rFonts w:hint="eastAsia" w:ascii="宋体" w:hAnsi="宋体"/>
              </w:rPr>
              <w:t>输液卡信息清单（按使用科室分析）</w:t>
            </w:r>
          </w:p>
        </w:tc>
        <w:tc>
          <w:tcPr>
            <w:tcW w:w="5937" w:type="dxa"/>
            <w:vAlign w:val="top"/>
          </w:tcPr>
          <w:p>
            <w:pPr>
              <w:spacing w:before="81" w:after="81"/>
              <w:ind w:firstLine="0"/>
              <w:rPr>
                <w:rFonts w:ascii="宋体" w:hAnsi="宋体"/>
              </w:rPr>
            </w:pPr>
            <w:r>
              <w:rPr>
                <w:rFonts w:hint="eastAsia" w:ascii="宋体" w:hAnsi="宋体"/>
              </w:rPr>
              <w:t xml:space="preserve">支持按日期、按配置科室、按使用科室、药品名称（支持多选）、病人姓名、床号查询配置/使用清单，支持多层数据挖掘，可以点击标签码值查看标签码值对应的药品明细列表、操作明细列表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290" w:type="dxa"/>
            <w:vMerge w:val="restart"/>
            <w:vAlign w:val="center"/>
          </w:tcPr>
          <w:p>
            <w:pPr>
              <w:spacing w:before="81" w:after="81"/>
              <w:ind w:firstLine="0"/>
              <w:rPr>
                <w:rFonts w:ascii="宋体" w:hAnsi="宋体"/>
              </w:rPr>
            </w:pPr>
            <w:r>
              <w:rPr>
                <w:rFonts w:hint="eastAsia" w:ascii="宋体" w:hAnsi="宋体"/>
              </w:rPr>
              <w:t>运营分析-配置分析</w:t>
            </w:r>
          </w:p>
        </w:tc>
        <w:tc>
          <w:tcPr>
            <w:tcW w:w="2054" w:type="dxa"/>
            <w:vAlign w:val="center"/>
          </w:tcPr>
          <w:p>
            <w:pPr>
              <w:spacing w:before="81" w:after="81"/>
              <w:ind w:firstLine="0"/>
              <w:rPr>
                <w:rFonts w:ascii="宋体" w:hAnsi="宋体"/>
              </w:rPr>
            </w:pPr>
            <w:r>
              <w:rPr>
                <w:rFonts w:hint="eastAsia" w:ascii="宋体" w:hAnsi="宋体"/>
              </w:rPr>
              <w:t>工作量趋势</w:t>
            </w:r>
          </w:p>
        </w:tc>
        <w:tc>
          <w:tcPr>
            <w:tcW w:w="5937" w:type="dxa"/>
            <w:vAlign w:val="top"/>
          </w:tcPr>
          <w:p>
            <w:pPr>
              <w:spacing w:before="81" w:after="81"/>
              <w:ind w:firstLine="0"/>
              <w:rPr>
                <w:rFonts w:ascii="宋体" w:hAnsi="宋体"/>
              </w:rPr>
            </w:pPr>
            <w:r>
              <w:rPr>
                <w:rFonts w:hint="eastAsia" w:ascii="宋体" w:hAnsi="宋体"/>
              </w:rPr>
              <w:t>支持按数据类型（按月份、按日）、日期（按月份只可选择月份、按日可选择到日）、流程查询工作量趋势</w:t>
            </w:r>
          </w:p>
          <w:p>
            <w:pPr>
              <w:spacing w:before="81" w:after="81"/>
              <w:ind w:firstLine="0"/>
              <w:rPr>
                <w:rFonts w:ascii="宋体" w:hAnsi="宋体"/>
              </w:rPr>
            </w:pPr>
            <w:r>
              <w:rPr>
                <w:rFonts w:hint="eastAsia" w:ascii="宋体" w:hAnsi="宋体"/>
              </w:rPr>
              <w:t>支持统计图、详细表格切换，支持多层数据挖掘，可以从工作量趋势进入人员工作量分析，从人员工作量分析进入人员工作量清单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290" w:type="dxa"/>
            <w:vMerge w:val="continue"/>
            <w:vAlign w:val="center"/>
          </w:tcPr>
          <w:p>
            <w:pPr>
              <w:spacing w:before="81" w:after="81"/>
              <w:ind w:firstLine="0"/>
              <w:rPr>
                <w:rFonts w:ascii="宋体" w:hAnsi="宋体"/>
              </w:rPr>
            </w:pPr>
          </w:p>
        </w:tc>
        <w:tc>
          <w:tcPr>
            <w:tcW w:w="2054" w:type="dxa"/>
            <w:vAlign w:val="center"/>
          </w:tcPr>
          <w:p>
            <w:pPr>
              <w:spacing w:before="81" w:after="81"/>
              <w:ind w:firstLine="0"/>
              <w:rPr>
                <w:rFonts w:ascii="宋体" w:hAnsi="宋体"/>
              </w:rPr>
            </w:pPr>
            <w:r>
              <w:rPr>
                <w:rFonts w:hint="eastAsia" w:ascii="宋体" w:hAnsi="宋体"/>
              </w:rPr>
              <w:t>人员工作量分析</w:t>
            </w:r>
          </w:p>
        </w:tc>
        <w:tc>
          <w:tcPr>
            <w:tcW w:w="5937" w:type="dxa"/>
            <w:vAlign w:val="top"/>
          </w:tcPr>
          <w:p>
            <w:pPr>
              <w:spacing w:before="81" w:after="81"/>
              <w:ind w:firstLine="0"/>
              <w:rPr>
                <w:rFonts w:ascii="宋体" w:hAnsi="宋体"/>
              </w:rPr>
            </w:pPr>
            <w:r>
              <w:rPr>
                <w:rFonts w:hint="eastAsia" w:ascii="宋体" w:hAnsi="宋体"/>
              </w:rPr>
              <w:t>支持按日期、员工名称、流程查询各个员工工作量统计</w:t>
            </w:r>
          </w:p>
          <w:p>
            <w:pPr>
              <w:spacing w:before="81" w:after="81"/>
              <w:ind w:firstLine="0"/>
              <w:rPr>
                <w:rFonts w:ascii="宋体" w:hAnsi="宋体"/>
              </w:rPr>
            </w:pPr>
            <w:r>
              <w:rPr>
                <w:rFonts w:hint="eastAsia" w:ascii="宋体" w:hAnsi="宋体"/>
              </w:rPr>
              <w:t>支持统计图、详细表格切换，支持多层数据挖掘，可以点击柱状图上某个员工进入人员工作量清单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290" w:type="dxa"/>
            <w:vMerge w:val="continue"/>
            <w:vAlign w:val="center"/>
          </w:tcPr>
          <w:p>
            <w:pPr>
              <w:spacing w:before="81" w:after="81"/>
              <w:ind w:firstLine="0"/>
              <w:rPr>
                <w:rFonts w:ascii="宋体" w:hAnsi="宋体"/>
              </w:rPr>
            </w:pPr>
          </w:p>
        </w:tc>
        <w:tc>
          <w:tcPr>
            <w:tcW w:w="2054" w:type="dxa"/>
            <w:vAlign w:val="center"/>
          </w:tcPr>
          <w:p>
            <w:pPr>
              <w:spacing w:before="81" w:after="81"/>
              <w:ind w:firstLine="0"/>
              <w:rPr>
                <w:rFonts w:ascii="宋体" w:hAnsi="宋体"/>
              </w:rPr>
            </w:pPr>
            <w:r>
              <w:rPr>
                <w:rFonts w:hint="eastAsia" w:ascii="宋体" w:hAnsi="宋体"/>
              </w:rPr>
              <w:t>人员工作量清单</w:t>
            </w:r>
          </w:p>
        </w:tc>
        <w:tc>
          <w:tcPr>
            <w:tcW w:w="5937" w:type="dxa"/>
            <w:vAlign w:val="top"/>
          </w:tcPr>
          <w:p>
            <w:pPr>
              <w:spacing w:before="81" w:after="81"/>
              <w:ind w:firstLine="0"/>
              <w:rPr>
                <w:rFonts w:ascii="宋体" w:hAnsi="宋体"/>
              </w:rPr>
            </w:pPr>
            <w:r>
              <w:rPr>
                <w:rFonts w:hint="eastAsia" w:ascii="宋体" w:hAnsi="宋体"/>
              </w:rPr>
              <w:t>支持按日期、科室员工名称查询员工在</w:t>
            </w:r>
            <w:r>
              <w:rPr>
                <w:rFonts w:ascii="宋体" w:hAnsi="宋体"/>
              </w:rPr>
              <w:t>输液配置全流程管理</w:t>
            </w:r>
            <w:r>
              <w:rPr>
                <w:rFonts w:hint="eastAsia" w:ascii="宋体" w:hAnsi="宋体"/>
              </w:rPr>
              <w:t>事务上所有事务的工作总量以及各流程工作总量的占比，每个流程的工作总量的合计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290" w:type="dxa"/>
            <w:vMerge w:val="restart"/>
            <w:vAlign w:val="center"/>
          </w:tcPr>
          <w:p>
            <w:pPr>
              <w:spacing w:before="81" w:after="81"/>
              <w:ind w:firstLine="0"/>
              <w:rPr>
                <w:rFonts w:ascii="宋体" w:hAnsi="宋体"/>
              </w:rPr>
            </w:pPr>
            <w:r>
              <w:rPr>
                <w:rFonts w:hint="eastAsia" w:ascii="宋体" w:hAnsi="宋体"/>
              </w:rPr>
              <w:t>运营分析-药物分布</w:t>
            </w:r>
          </w:p>
        </w:tc>
        <w:tc>
          <w:tcPr>
            <w:tcW w:w="2054" w:type="dxa"/>
            <w:vAlign w:val="center"/>
          </w:tcPr>
          <w:p>
            <w:pPr>
              <w:spacing w:before="81" w:after="81"/>
              <w:ind w:firstLine="0"/>
              <w:rPr>
                <w:rFonts w:ascii="宋体" w:hAnsi="宋体"/>
              </w:rPr>
            </w:pPr>
            <w:r>
              <w:rPr>
                <w:rFonts w:hint="eastAsia" w:ascii="宋体" w:hAnsi="宋体"/>
              </w:rPr>
              <w:t>总体药物分布</w:t>
            </w:r>
          </w:p>
        </w:tc>
        <w:tc>
          <w:tcPr>
            <w:tcW w:w="5937" w:type="dxa"/>
            <w:vAlign w:val="top"/>
          </w:tcPr>
          <w:p>
            <w:pPr>
              <w:spacing w:before="81" w:after="81"/>
              <w:ind w:firstLine="0"/>
              <w:rPr>
                <w:rFonts w:ascii="宋体" w:hAnsi="宋体"/>
              </w:rPr>
            </w:pPr>
            <w:r>
              <w:rPr>
                <w:rFonts w:hint="eastAsia" w:ascii="宋体" w:hAnsi="宋体"/>
              </w:rPr>
              <w:t>支持按日期、药品名称（多选）查询各个药物统计数量</w:t>
            </w:r>
          </w:p>
          <w:p>
            <w:pPr>
              <w:spacing w:before="81" w:after="81"/>
              <w:ind w:firstLine="0"/>
              <w:rPr>
                <w:rFonts w:ascii="宋体" w:hAnsi="宋体"/>
              </w:rPr>
            </w:pPr>
            <w:r>
              <w:rPr>
                <w:rFonts w:hint="eastAsia" w:ascii="宋体" w:hAnsi="宋体"/>
              </w:rPr>
              <w:t>支持统计图、详细表格切换</w:t>
            </w:r>
          </w:p>
          <w:p>
            <w:pPr>
              <w:spacing w:before="81" w:after="81"/>
              <w:ind w:firstLine="0"/>
              <w:rPr>
                <w:rFonts w:ascii="宋体" w:hAnsi="宋体"/>
              </w:rPr>
            </w:pPr>
            <w:r>
              <w:rPr>
                <w:rFonts w:hint="eastAsia" w:ascii="宋体" w:hAnsi="宋体"/>
              </w:rPr>
              <w:t>支持多层数据挖掘，可以点击柱状图上某个药品进入科室药物分析，从科室药物分析进入科室药物清单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290" w:type="dxa"/>
            <w:vMerge w:val="continue"/>
            <w:vAlign w:val="center"/>
          </w:tcPr>
          <w:p>
            <w:pPr>
              <w:spacing w:before="81" w:after="81"/>
              <w:ind w:firstLine="0"/>
              <w:rPr>
                <w:rFonts w:ascii="宋体" w:hAnsi="宋体"/>
              </w:rPr>
            </w:pPr>
          </w:p>
        </w:tc>
        <w:tc>
          <w:tcPr>
            <w:tcW w:w="2054" w:type="dxa"/>
            <w:vAlign w:val="center"/>
          </w:tcPr>
          <w:p>
            <w:pPr>
              <w:spacing w:before="81" w:after="81"/>
              <w:ind w:firstLine="0"/>
              <w:rPr>
                <w:rFonts w:ascii="宋体" w:hAnsi="宋体"/>
              </w:rPr>
            </w:pPr>
            <w:r>
              <w:rPr>
                <w:rFonts w:hint="eastAsia" w:ascii="宋体" w:hAnsi="宋体"/>
              </w:rPr>
              <w:t>科室药物分布</w:t>
            </w:r>
          </w:p>
        </w:tc>
        <w:tc>
          <w:tcPr>
            <w:tcW w:w="5937" w:type="dxa"/>
            <w:vAlign w:val="top"/>
          </w:tcPr>
          <w:p>
            <w:pPr>
              <w:spacing w:before="81" w:after="81"/>
              <w:ind w:firstLine="0"/>
              <w:rPr>
                <w:rFonts w:ascii="宋体" w:hAnsi="宋体"/>
              </w:rPr>
            </w:pPr>
            <w:r>
              <w:rPr>
                <w:rFonts w:hint="eastAsia" w:ascii="宋体" w:hAnsi="宋体"/>
              </w:rPr>
              <w:t>支持按</w:t>
            </w:r>
            <w:r>
              <w:rPr>
                <w:rFonts w:ascii="宋体" w:hAnsi="宋体"/>
              </w:rPr>
              <w:t>日期</w:t>
            </w:r>
            <w:r>
              <w:rPr>
                <w:rFonts w:hint="eastAsia" w:ascii="宋体" w:hAnsi="宋体"/>
              </w:rPr>
              <w:t>、药品名称、科室查询药物对应的科室分布数量</w:t>
            </w:r>
          </w:p>
          <w:p>
            <w:pPr>
              <w:spacing w:before="81" w:after="81"/>
              <w:ind w:firstLine="0"/>
              <w:rPr>
                <w:rFonts w:ascii="宋体" w:hAnsi="宋体"/>
              </w:rPr>
            </w:pPr>
            <w:r>
              <w:rPr>
                <w:rFonts w:hint="eastAsia" w:ascii="宋体" w:hAnsi="宋体"/>
              </w:rPr>
              <w:t>支持统计图、详细表格同时展示</w:t>
            </w:r>
          </w:p>
          <w:p>
            <w:pPr>
              <w:spacing w:before="81" w:after="81"/>
              <w:ind w:firstLine="0"/>
              <w:rPr>
                <w:rFonts w:ascii="宋体" w:hAnsi="宋体"/>
              </w:rPr>
            </w:pPr>
            <w:r>
              <w:rPr>
                <w:rFonts w:hint="eastAsia" w:ascii="宋体" w:hAnsi="宋体"/>
              </w:rPr>
              <w:t>支持多层数据挖掘，从科室药物分析进入科室药物清单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290" w:type="dxa"/>
            <w:vMerge w:val="continue"/>
            <w:vAlign w:val="center"/>
          </w:tcPr>
          <w:p>
            <w:pPr>
              <w:spacing w:before="81" w:after="81"/>
              <w:ind w:firstLine="0"/>
              <w:rPr>
                <w:rFonts w:ascii="宋体" w:hAnsi="宋体"/>
              </w:rPr>
            </w:pPr>
          </w:p>
        </w:tc>
        <w:tc>
          <w:tcPr>
            <w:tcW w:w="2054" w:type="dxa"/>
            <w:vAlign w:val="center"/>
          </w:tcPr>
          <w:p>
            <w:pPr>
              <w:spacing w:before="81" w:after="81"/>
              <w:ind w:firstLine="0"/>
              <w:rPr>
                <w:rFonts w:ascii="宋体" w:hAnsi="宋体"/>
              </w:rPr>
            </w:pPr>
            <w:r>
              <w:rPr>
                <w:rFonts w:hint="eastAsia" w:ascii="宋体" w:hAnsi="宋体"/>
              </w:rPr>
              <w:t>科室药物清单</w:t>
            </w:r>
          </w:p>
        </w:tc>
        <w:tc>
          <w:tcPr>
            <w:tcW w:w="5937" w:type="dxa"/>
            <w:vAlign w:val="top"/>
          </w:tcPr>
          <w:p>
            <w:pPr>
              <w:spacing w:before="81" w:after="81"/>
              <w:ind w:firstLine="0"/>
              <w:rPr>
                <w:rFonts w:ascii="宋体" w:hAnsi="宋体"/>
              </w:rPr>
            </w:pPr>
            <w:r>
              <w:rPr>
                <w:rFonts w:hint="eastAsia" w:ascii="宋体" w:hAnsi="宋体"/>
              </w:rPr>
              <w:t>支持按</w:t>
            </w:r>
            <w:r>
              <w:rPr>
                <w:rFonts w:ascii="宋体" w:hAnsi="宋体"/>
              </w:rPr>
              <w:t>日期</w:t>
            </w:r>
            <w:r>
              <w:rPr>
                <w:rFonts w:hint="eastAsia" w:ascii="宋体" w:hAnsi="宋体"/>
              </w:rPr>
              <w:t>、药品名称、科室、病人姓名、床号查询科室药物清单</w:t>
            </w:r>
          </w:p>
          <w:p>
            <w:pPr>
              <w:spacing w:before="81" w:after="81"/>
              <w:ind w:firstLine="0"/>
              <w:rPr>
                <w:rFonts w:ascii="宋体" w:hAnsi="宋体"/>
              </w:rPr>
            </w:pPr>
            <w:r>
              <w:rPr>
                <w:rFonts w:hint="eastAsia" w:ascii="宋体" w:hAnsi="宋体"/>
              </w:rPr>
              <w:t>支持多层数据挖掘，可以点击标签码值查看标签码值对应的药品明细列表、操作明细列表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290" w:type="dxa"/>
            <w:vMerge w:val="restart"/>
            <w:vAlign w:val="center"/>
          </w:tcPr>
          <w:p>
            <w:pPr>
              <w:spacing w:before="81" w:after="81"/>
              <w:ind w:firstLine="0"/>
              <w:rPr>
                <w:rFonts w:ascii="宋体" w:hAnsi="宋体"/>
              </w:rPr>
            </w:pPr>
            <w:r>
              <w:rPr>
                <w:rFonts w:hint="eastAsia" w:ascii="宋体" w:hAnsi="宋体"/>
              </w:rPr>
              <w:t>运营分析-不合格分析</w:t>
            </w:r>
          </w:p>
        </w:tc>
        <w:tc>
          <w:tcPr>
            <w:tcW w:w="2054" w:type="dxa"/>
            <w:vAlign w:val="center"/>
          </w:tcPr>
          <w:p>
            <w:pPr>
              <w:spacing w:before="81" w:after="81"/>
              <w:ind w:firstLine="0"/>
              <w:rPr>
                <w:rFonts w:ascii="宋体" w:hAnsi="宋体"/>
              </w:rPr>
            </w:pPr>
            <w:r>
              <w:rPr>
                <w:rFonts w:hint="eastAsia" w:ascii="宋体" w:hAnsi="宋体"/>
              </w:rPr>
              <w:t>不合格数量汇总</w:t>
            </w:r>
          </w:p>
        </w:tc>
        <w:tc>
          <w:tcPr>
            <w:tcW w:w="5937" w:type="dxa"/>
            <w:vAlign w:val="top"/>
          </w:tcPr>
          <w:p>
            <w:pPr>
              <w:spacing w:before="81" w:after="81"/>
              <w:ind w:firstLine="0"/>
              <w:rPr>
                <w:rFonts w:ascii="宋体" w:hAnsi="宋体"/>
              </w:rPr>
            </w:pPr>
            <w:r>
              <w:rPr>
                <w:rFonts w:hint="eastAsia" w:ascii="宋体" w:hAnsi="宋体"/>
              </w:rPr>
              <w:t>支持按日期查询不合格数量汇总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290" w:type="dxa"/>
            <w:vMerge w:val="continue"/>
            <w:vAlign w:val="center"/>
          </w:tcPr>
          <w:p>
            <w:pPr>
              <w:spacing w:before="81" w:after="81"/>
              <w:ind w:firstLine="0"/>
              <w:rPr>
                <w:rFonts w:ascii="宋体" w:hAnsi="宋体"/>
              </w:rPr>
            </w:pPr>
          </w:p>
        </w:tc>
        <w:tc>
          <w:tcPr>
            <w:tcW w:w="2054" w:type="dxa"/>
            <w:vAlign w:val="center"/>
          </w:tcPr>
          <w:p>
            <w:pPr>
              <w:spacing w:before="81" w:after="81"/>
              <w:ind w:firstLine="0"/>
              <w:rPr>
                <w:rFonts w:ascii="宋体" w:hAnsi="宋体"/>
              </w:rPr>
            </w:pPr>
            <w:r>
              <w:rPr>
                <w:rFonts w:hint="eastAsia" w:ascii="宋体" w:hAnsi="宋体"/>
              </w:rPr>
              <w:t>不合格原因分析</w:t>
            </w:r>
          </w:p>
        </w:tc>
        <w:tc>
          <w:tcPr>
            <w:tcW w:w="5937" w:type="dxa"/>
            <w:vAlign w:val="top"/>
          </w:tcPr>
          <w:p>
            <w:pPr>
              <w:spacing w:before="81" w:after="81"/>
              <w:ind w:firstLine="0"/>
              <w:rPr>
                <w:rFonts w:ascii="宋体" w:hAnsi="宋体"/>
              </w:rPr>
            </w:pPr>
            <w:r>
              <w:rPr>
                <w:rFonts w:hint="eastAsia" w:ascii="宋体" w:hAnsi="宋体"/>
              </w:rPr>
              <w:t>支持按日期、不合格原因查询不合格原因分析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290" w:type="dxa"/>
            <w:vMerge w:val="continue"/>
            <w:vAlign w:val="center"/>
          </w:tcPr>
          <w:p>
            <w:pPr>
              <w:spacing w:before="81" w:after="81"/>
              <w:ind w:firstLine="0"/>
              <w:rPr>
                <w:rFonts w:ascii="宋体" w:hAnsi="宋体"/>
              </w:rPr>
            </w:pPr>
          </w:p>
        </w:tc>
        <w:tc>
          <w:tcPr>
            <w:tcW w:w="2054" w:type="dxa"/>
            <w:vAlign w:val="center"/>
          </w:tcPr>
          <w:p>
            <w:pPr>
              <w:spacing w:before="81" w:after="81"/>
              <w:ind w:firstLine="0"/>
              <w:rPr>
                <w:rFonts w:ascii="宋体" w:hAnsi="宋体"/>
              </w:rPr>
            </w:pPr>
            <w:r>
              <w:rPr>
                <w:rFonts w:hint="eastAsia" w:ascii="宋体" w:hAnsi="宋体"/>
              </w:rPr>
              <w:t>不合格药物分析</w:t>
            </w:r>
          </w:p>
        </w:tc>
        <w:tc>
          <w:tcPr>
            <w:tcW w:w="5937" w:type="dxa"/>
            <w:vAlign w:val="top"/>
          </w:tcPr>
          <w:p>
            <w:pPr>
              <w:spacing w:before="81" w:after="81"/>
              <w:ind w:firstLine="0"/>
              <w:rPr>
                <w:rFonts w:ascii="宋体" w:hAnsi="宋体"/>
              </w:rPr>
            </w:pPr>
            <w:r>
              <w:rPr>
                <w:rFonts w:hint="eastAsia" w:ascii="宋体" w:hAnsi="宋体"/>
              </w:rPr>
              <w:t>支持按日期、药物名称（多选）查询药物不合格数量分析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290" w:type="dxa"/>
            <w:vMerge w:val="continue"/>
            <w:vAlign w:val="center"/>
          </w:tcPr>
          <w:p>
            <w:pPr>
              <w:spacing w:before="81" w:after="81"/>
              <w:ind w:firstLine="0"/>
              <w:rPr>
                <w:rFonts w:ascii="宋体" w:hAnsi="宋体"/>
              </w:rPr>
            </w:pPr>
          </w:p>
        </w:tc>
        <w:tc>
          <w:tcPr>
            <w:tcW w:w="2054" w:type="dxa"/>
            <w:vAlign w:val="center"/>
          </w:tcPr>
          <w:p>
            <w:pPr>
              <w:spacing w:before="81" w:after="81"/>
              <w:ind w:firstLine="0"/>
              <w:rPr>
                <w:rFonts w:ascii="宋体" w:hAnsi="宋体"/>
              </w:rPr>
            </w:pPr>
            <w:r>
              <w:rPr>
                <w:rFonts w:hint="eastAsia" w:ascii="宋体" w:hAnsi="宋体"/>
              </w:rPr>
              <w:t>不合格操作人员分析</w:t>
            </w:r>
          </w:p>
        </w:tc>
        <w:tc>
          <w:tcPr>
            <w:tcW w:w="5937" w:type="dxa"/>
            <w:vAlign w:val="top"/>
          </w:tcPr>
          <w:p>
            <w:pPr>
              <w:spacing w:before="81" w:after="81"/>
              <w:ind w:firstLine="0"/>
              <w:rPr>
                <w:rFonts w:ascii="宋体" w:hAnsi="宋体"/>
              </w:rPr>
            </w:pPr>
            <w:r>
              <w:rPr>
                <w:rFonts w:hint="eastAsia" w:ascii="宋体" w:hAnsi="宋体"/>
              </w:rPr>
              <w:t>支持按日期、员工姓名查询操作人员审核出不合格的数量分析</w:t>
            </w:r>
          </w:p>
        </w:tc>
      </w:tr>
    </w:tbl>
    <w:p>
      <w:pPr>
        <w:pStyle w:val="5"/>
        <w:numPr>
          <w:ilvl w:val="0"/>
          <w:numId w:val="2"/>
        </w:numPr>
        <w:rPr>
          <w:rFonts w:hint="eastAsia"/>
          <w:sz w:val="28"/>
          <w:szCs w:val="28"/>
          <w:lang w:val="zh-CN" w:eastAsia="zh-CN"/>
        </w:rPr>
      </w:pPr>
      <w:r>
        <w:rPr>
          <w:rFonts w:hint="eastAsia"/>
          <w:sz w:val="28"/>
          <w:szCs w:val="28"/>
          <w:lang w:val="zh-CN" w:eastAsia="zh-CN"/>
        </w:rPr>
        <w:t>药物配置全流程管理系统-HTTP服务</w:t>
      </w:r>
    </w:p>
    <w:tbl>
      <w:tblPr>
        <w:tblW w:w="9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054"/>
        <w:gridCol w:w="5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44" w:type="dxa"/>
            <w:gridSpan w:val="2"/>
            <w:vAlign w:val="center"/>
          </w:tcPr>
          <w:p>
            <w:pPr>
              <w:spacing w:before="81" w:after="81"/>
              <w:ind w:firstLine="0"/>
              <w:jc w:val="center"/>
              <w:rPr>
                <w:rFonts w:ascii="宋体" w:hAnsi="宋体"/>
                <w:b/>
                <w:bCs/>
              </w:rPr>
            </w:pPr>
            <w:r>
              <w:rPr>
                <w:rFonts w:hint="eastAsia" w:ascii="宋体" w:hAnsi="宋体"/>
                <w:b/>
                <w:bCs/>
                <w:lang w:eastAsia="zh-CN"/>
              </w:rPr>
              <w:t>技术</w:t>
            </w:r>
            <w:r>
              <w:rPr>
                <w:rFonts w:hint="eastAsia" w:ascii="宋体" w:hAnsi="宋体"/>
                <w:b/>
                <w:bCs/>
              </w:rPr>
              <w:t>功能模块</w:t>
            </w:r>
          </w:p>
        </w:tc>
        <w:tc>
          <w:tcPr>
            <w:tcW w:w="5938" w:type="dxa"/>
            <w:vAlign w:val="center"/>
          </w:tcPr>
          <w:p>
            <w:pPr>
              <w:spacing w:before="81" w:after="81"/>
              <w:ind w:firstLine="0"/>
              <w:jc w:val="center"/>
              <w:rPr>
                <w:rFonts w:hint="eastAsia" w:ascii="宋体" w:hAnsi="宋体" w:eastAsia="宋体"/>
                <w:b/>
                <w:bCs/>
                <w:lang w:eastAsia="zh-CN"/>
              </w:rPr>
            </w:pPr>
            <w:r>
              <w:rPr>
                <w:rFonts w:hint="eastAsia" w:ascii="宋体" w:hAnsi="宋体"/>
                <w:b/>
                <w:bCs/>
              </w:rPr>
              <w:t>功能要求</w:t>
            </w:r>
            <w:r>
              <w:rPr>
                <w:rFonts w:hint="eastAsia" w:ascii="宋体" w:hAnsi="宋体"/>
                <w:b/>
                <w:bCs/>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290" w:type="dxa"/>
            <w:vMerge w:val="restart"/>
            <w:vAlign w:val="center"/>
          </w:tcPr>
          <w:p>
            <w:pPr>
              <w:spacing w:before="81" w:after="81"/>
              <w:ind w:firstLine="0"/>
              <w:rPr>
                <w:rFonts w:ascii="宋体" w:hAnsi="宋体"/>
              </w:rPr>
            </w:pPr>
            <w:r>
              <w:rPr>
                <w:rFonts w:hint="eastAsia" w:ascii="宋体" w:hAnsi="宋体"/>
              </w:rPr>
              <w:t>报表</w:t>
            </w:r>
          </w:p>
        </w:tc>
        <w:tc>
          <w:tcPr>
            <w:tcW w:w="2054" w:type="dxa"/>
            <w:vAlign w:val="center"/>
          </w:tcPr>
          <w:p>
            <w:pPr>
              <w:spacing w:before="81" w:after="81"/>
              <w:ind w:firstLine="0"/>
              <w:rPr>
                <w:rFonts w:ascii="宋体" w:hAnsi="宋体"/>
              </w:rPr>
            </w:pPr>
            <w:r>
              <w:rPr>
                <w:rFonts w:hint="eastAsia" w:ascii="宋体" w:hAnsi="宋体"/>
              </w:rPr>
              <w:t>总量分析</w:t>
            </w:r>
          </w:p>
        </w:tc>
        <w:tc>
          <w:tcPr>
            <w:tcW w:w="5938" w:type="dxa"/>
            <w:vAlign w:val="top"/>
          </w:tcPr>
          <w:p>
            <w:pPr>
              <w:spacing w:before="81" w:after="81"/>
              <w:ind w:firstLine="0"/>
              <w:rPr>
                <w:rFonts w:ascii="宋体" w:hAnsi="宋体"/>
              </w:rPr>
            </w:pPr>
            <w:r>
              <w:rPr>
                <w:rFonts w:hint="eastAsia" w:ascii="宋体" w:hAnsi="宋体"/>
              </w:rPr>
              <w:t>对外提供web服务，支持其他系统查询</w:t>
            </w:r>
            <w:r>
              <w:rPr>
                <w:rFonts w:ascii="宋体" w:hAnsi="宋体"/>
              </w:rPr>
              <w:t>年度总量分析</w:t>
            </w:r>
            <w:r>
              <w:rPr>
                <w:rFonts w:hint="eastAsia" w:ascii="宋体" w:hAnsi="宋体"/>
              </w:rPr>
              <w:t>以及当日实时数据。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290" w:type="dxa"/>
            <w:vMerge w:val="continue"/>
            <w:vAlign w:val="center"/>
          </w:tcPr>
          <w:p>
            <w:pPr>
              <w:spacing w:before="81" w:after="81"/>
              <w:ind w:firstLine="0"/>
              <w:rPr>
                <w:rFonts w:ascii="宋体" w:hAnsi="宋体"/>
              </w:rPr>
            </w:pPr>
          </w:p>
        </w:tc>
        <w:tc>
          <w:tcPr>
            <w:tcW w:w="2054" w:type="dxa"/>
            <w:vAlign w:val="center"/>
          </w:tcPr>
          <w:p>
            <w:pPr>
              <w:spacing w:before="81" w:after="81"/>
              <w:ind w:firstLine="0"/>
              <w:rPr>
                <w:rFonts w:ascii="宋体" w:hAnsi="宋体"/>
              </w:rPr>
            </w:pPr>
            <w:r>
              <w:rPr>
                <w:rFonts w:hint="eastAsia" w:ascii="宋体" w:hAnsi="宋体"/>
              </w:rPr>
              <w:t>全流程跟踪报表</w:t>
            </w:r>
          </w:p>
        </w:tc>
        <w:tc>
          <w:tcPr>
            <w:tcW w:w="5938" w:type="dxa"/>
            <w:vAlign w:val="top"/>
          </w:tcPr>
          <w:p>
            <w:pPr>
              <w:spacing w:before="81" w:after="81"/>
              <w:ind w:firstLine="0"/>
              <w:rPr>
                <w:rFonts w:ascii="宋体" w:hAnsi="宋体"/>
              </w:rPr>
            </w:pPr>
            <w:r>
              <w:rPr>
                <w:rFonts w:hint="eastAsia" w:ascii="宋体" w:hAnsi="宋体"/>
              </w:rPr>
              <w:t>对外提供web服务，支持其他系统接按时间、病人名称、床号、病区查询病人对应的药品明细及对应的流程信息。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290" w:type="dxa"/>
            <w:vMerge w:val="continue"/>
            <w:vAlign w:val="center"/>
          </w:tcPr>
          <w:p>
            <w:pPr>
              <w:spacing w:before="81" w:after="81"/>
              <w:ind w:firstLine="0"/>
              <w:rPr>
                <w:rFonts w:ascii="宋体" w:hAnsi="宋体"/>
              </w:rPr>
            </w:pPr>
          </w:p>
        </w:tc>
        <w:tc>
          <w:tcPr>
            <w:tcW w:w="2054" w:type="dxa"/>
            <w:vAlign w:val="center"/>
          </w:tcPr>
          <w:p>
            <w:pPr>
              <w:spacing w:before="81" w:after="81"/>
              <w:ind w:firstLine="0"/>
              <w:rPr>
                <w:rFonts w:ascii="宋体" w:hAnsi="宋体"/>
              </w:rPr>
            </w:pPr>
            <w:r>
              <w:rPr>
                <w:rFonts w:hint="eastAsia" w:ascii="宋体" w:hAnsi="宋体"/>
              </w:rPr>
              <w:t>操作记录查询_按条码</w:t>
            </w:r>
          </w:p>
        </w:tc>
        <w:tc>
          <w:tcPr>
            <w:tcW w:w="5938" w:type="dxa"/>
            <w:vAlign w:val="top"/>
          </w:tcPr>
          <w:p>
            <w:pPr>
              <w:spacing w:before="81" w:after="81"/>
              <w:ind w:firstLine="0"/>
              <w:rPr>
                <w:rFonts w:ascii="宋体" w:hAnsi="宋体"/>
              </w:rPr>
            </w:pPr>
            <w:r>
              <w:rPr>
                <w:rFonts w:hint="eastAsia" w:ascii="宋体" w:hAnsi="宋体"/>
              </w:rPr>
              <w:t>对外提供web服务，支持其他系统按标签码值查询对应的操作记录。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290" w:type="dxa"/>
            <w:vMerge w:val="continue"/>
            <w:vAlign w:val="center"/>
          </w:tcPr>
          <w:p>
            <w:pPr>
              <w:spacing w:before="81" w:after="81"/>
              <w:ind w:firstLine="0"/>
              <w:rPr>
                <w:rFonts w:ascii="宋体" w:hAnsi="宋体"/>
              </w:rPr>
            </w:pPr>
          </w:p>
        </w:tc>
        <w:tc>
          <w:tcPr>
            <w:tcW w:w="2054" w:type="dxa"/>
            <w:vAlign w:val="center"/>
          </w:tcPr>
          <w:p>
            <w:pPr>
              <w:spacing w:before="81" w:after="81"/>
              <w:ind w:firstLine="0"/>
              <w:rPr>
                <w:rFonts w:ascii="宋体" w:hAnsi="宋体"/>
              </w:rPr>
            </w:pPr>
            <w:r>
              <w:rPr>
                <w:rFonts w:hint="eastAsia" w:ascii="宋体" w:hAnsi="宋体"/>
              </w:rPr>
              <w:t>操作记录查询_按条件</w:t>
            </w:r>
          </w:p>
        </w:tc>
        <w:tc>
          <w:tcPr>
            <w:tcW w:w="5938" w:type="dxa"/>
            <w:vAlign w:val="top"/>
          </w:tcPr>
          <w:p>
            <w:pPr>
              <w:spacing w:before="81" w:after="81"/>
              <w:ind w:firstLine="0"/>
              <w:rPr>
                <w:rFonts w:ascii="宋体" w:hAnsi="宋体"/>
              </w:rPr>
            </w:pPr>
            <w:r>
              <w:rPr>
                <w:rFonts w:hint="eastAsia" w:ascii="宋体" w:hAnsi="宋体"/>
              </w:rPr>
              <w:t>对外提供web服务，支持其他系统按操作时间、事务、操作步骤、科室、员工姓名查询操作记录。</w:t>
            </w:r>
          </w:p>
        </w:tc>
      </w:tr>
    </w:tbl>
    <w:p>
      <w:pPr>
        <w:rPr>
          <w:rFonts w:hint="eastAsia"/>
          <w:sz w:val="24"/>
          <w:szCs w:val="24"/>
          <w:lang w:val="en-US" w:eastAsia="zh-CN"/>
        </w:rPr>
      </w:pPr>
      <w:r>
        <w:rPr>
          <w:rFonts w:hint="eastAsia"/>
          <w:sz w:val="24"/>
          <w:szCs w:val="24"/>
          <w:lang w:val="en-US" w:eastAsia="zh-CN"/>
        </w:rPr>
        <w:t>其他要求：</w:t>
      </w:r>
    </w:p>
    <w:p>
      <w:pPr>
        <w:rPr>
          <w:rFonts w:hint="eastAsia"/>
          <w:sz w:val="24"/>
          <w:szCs w:val="24"/>
          <w:lang w:val="en-US" w:eastAsia="zh-CN"/>
        </w:rPr>
      </w:pPr>
      <w:r>
        <w:rPr>
          <w:rFonts w:hint="eastAsia"/>
          <w:sz w:val="24"/>
          <w:szCs w:val="24"/>
          <w:lang w:val="en-US" w:eastAsia="zh-CN"/>
        </w:rPr>
        <w:t>1.根据国家《医院信息系统功能规范》第十二条以及国家信息化建设审计要求，必须提供完整的总体设计报告、需求分析说明书、概要设计说明书、详细设计说明书、数据字典、数据结构与流程、测试报告、操作使用手册、系统维护手册。至少必须提供数据字典、数据结构与流程、操作使用手册、系统维护手册。</w:t>
      </w:r>
    </w:p>
    <w:p>
      <w:pPr>
        <w:rPr>
          <w:rFonts w:hint="eastAsia"/>
          <w:sz w:val="24"/>
          <w:szCs w:val="24"/>
          <w:lang w:val="en-US" w:eastAsia="zh-CN"/>
        </w:rPr>
      </w:pPr>
      <w:r>
        <w:rPr>
          <w:rFonts w:hint="eastAsia"/>
          <w:sz w:val="24"/>
          <w:szCs w:val="24"/>
          <w:lang w:val="en-US" w:eastAsia="zh-CN"/>
        </w:rPr>
        <w:t>2.数据具备各数据表基础数据项的完整性，诸如：数据的创建人、创建时间、最后修改人、最后修改时间等；具备应用系统数据修改痕迹管理，各项核心业务的数据修改必须以日志形式保存，数据修改日志至少必须有“数据基础信息”、“修改前数据”、“修改后数据”、“修改人”、“修改时间”五个部分核心数据项组成；具备应用系统可以手动设置本地日志的保存目录，并自动必须定期清除。</w:t>
      </w:r>
    </w:p>
    <w:p>
      <w:pPr>
        <w:rPr>
          <w:rFonts w:hint="eastAsia"/>
          <w:sz w:val="24"/>
          <w:szCs w:val="24"/>
          <w:lang w:val="en-US" w:eastAsia="zh-CN"/>
        </w:rPr>
      </w:pPr>
      <w:r>
        <w:rPr>
          <w:rFonts w:hint="eastAsia"/>
          <w:sz w:val="24"/>
          <w:szCs w:val="24"/>
          <w:lang w:val="en-US" w:eastAsia="zh-CN"/>
        </w:rPr>
        <w:t>3.应结合我院实际医疗及管理需要，对系统进行客户化修改。</w:t>
      </w:r>
    </w:p>
    <w:p>
      <w:pPr>
        <w:rPr>
          <w:rFonts w:hint="eastAsia"/>
          <w:sz w:val="24"/>
          <w:szCs w:val="24"/>
          <w:lang w:val="en-US" w:eastAsia="zh-CN"/>
        </w:rPr>
      </w:pPr>
      <w:r>
        <w:rPr>
          <w:rFonts w:hint="eastAsia"/>
          <w:sz w:val="24"/>
          <w:szCs w:val="24"/>
          <w:lang w:val="en-US" w:eastAsia="zh-CN"/>
        </w:rPr>
        <w:t>4.系统应提供与医院HIS，电子病历、危机值平台、麻醉耗材、患者360（含HIS360、CDR360）等系统无缝集成接口，符合电子病历6级、医院的互联互通5级、智慧医院4级的建设要求，上述各评级不涉及本系统的功能可以按本次招标内容为准。</w:t>
      </w:r>
    </w:p>
    <w:p>
      <w:pPr>
        <w:rPr>
          <w:rFonts w:hint="eastAsia"/>
          <w:sz w:val="24"/>
          <w:szCs w:val="24"/>
          <w:lang w:val="en-US" w:eastAsia="zh-CN"/>
        </w:rPr>
      </w:pPr>
      <w:r>
        <w:rPr>
          <w:rFonts w:hint="eastAsia"/>
          <w:sz w:val="24"/>
          <w:szCs w:val="24"/>
          <w:lang w:val="en-US" w:eastAsia="zh-CN"/>
        </w:rPr>
        <w:t>5.具备与集成平台通过统一的数据接口，实现浏览各检查报告具备通过系统集成平台按照国家、院内、院级数据集标准进行数据交换。具备多模式下数据交换接口的切换管理，诸如：集成平台出现故障时，可切换成应用系统服务接口模式或数据表模式，集成平台恢复时，可重新切换成集成平台。</w:t>
      </w:r>
    </w:p>
    <w:p>
      <w:pPr>
        <w:rPr>
          <w:rFonts w:hint="eastAsia"/>
          <w:sz w:val="24"/>
          <w:szCs w:val="24"/>
          <w:lang w:val="en-US" w:eastAsia="zh-CN"/>
        </w:rPr>
      </w:pPr>
      <w:r>
        <w:rPr>
          <w:rFonts w:hint="eastAsia"/>
          <w:sz w:val="24"/>
          <w:szCs w:val="24"/>
          <w:lang w:val="en-US" w:eastAsia="zh-CN"/>
        </w:rPr>
        <w:t>6.三年内免费实施政策性国家、省市各平台的数据接口、数据上传等，包括但不限于：福建省卫健委居民健康综合服务平台、福建省检查检验结果互联互通互认平台、福建省卫健委多码融合项目等。产生相应指标，推送至医疗平台接口中（涉及其他系统，应与其他系统配合实施）。</w:t>
      </w:r>
    </w:p>
    <w:p>
      <w:pPr>
        <w:rPr>
          <w:rFonts w:hint="eastAsia"/>
          <w:sz w:val="24"/>
          <w:szCs w:val="24"/>
          <w:lang w:val="en-US" w:eastAsia="zh-CN"/>
        </w:rPr>
      </w:pPr>
      <w:r>
        <w:rPr>
          <w:rFonts w:hint="eastAsia"/>
          <w:sz w:val="24"/>
          <w:szCs w:val="24"/>
          <w:lang w:val="en-US" w:eastAsia="zh-CN"/>
        </w:rPr>
        <w:t>7.系统需符合《信息安全技术网络安全等级保护基本要求》GB/T22239-2019（三级）要求（下文简称：三级等保2.0），并在三级等保2.0评审中协助完成本系统评审工作。</w:t>
      </w:r>
    </w:p>
    <w:p>
      <w:pPr>
        <w:rPr>
          <w:rFonts w:hint="eastAsia"/>
          <w:sz w:val="24"/>
          <w:szCs w:val="24"/>
          <w:lang w:val="en-US" w:eastAsia="zh-CN"/>
        </w:rPr>
      </w:pPr>
      <w:r>
        <w:rPr>
          <w:rFonts w:hint="eastAsia"/>
          <w:sz w:val="24"/>
          <w:szCs w:val="24"/>
          <w:lang w:val="en-US" w:eastAsia="zh-CN"/>
        </w:rPr>
        <w:t>8.与医院现有CA数字签名功能实现对接，满足医院各法规需要。</w:t>
      </w:r>
    </w:p>
    <w:p>
      <w:pPr>
        <w:rPr>
          <w:rFonts w:hint="eastAsia"/>
          <w:sz w:val="24"/>
          <w:szCs w:val="24"/>
          <w:lang w:val="en-US" w:eastAsia="zh-CN"/>
        </w:rPr>
      </w:pPr>
      <w:r>
        <w:rPr>
          <w:rFonts w:hint="eastAsia"/>
          <w:sz w:val="24"/>
          <w:szCs w:val="24"/>
          <w:lang w:val="en-US" w:eastAsia="zh-CN"/>
        </w:rPr>
        <w:t>9.若有APP功能，应提供H5接口，并支付相应接口费用（不超过3万元）。</w:t>
      </w:r>
    </w:p>
    <w:p>
      <w:pPr>
        <w:rPr>
          <w:rFonts w:hint="eastAsia"/>
          <w:sz w:val="24"/>
          <w:szCs w:val="24"/>
          <w:lang w:val="en-US" w:eastAsia="zh-CN"/>
        </w:rPr>
      </w:pPr>
      <w:r>
        <w:rPr>
          <w:rFonts w:hint="eastAsia"/>
          <w:sz w:val="24"/>
          <w:szCs w:val="24"/>
          <w:lang w:val="en-US" w:eastAsia="zh-CN"/>
        </w:rPr>
        <w:t>10.本项目涉及院内现有各业务系统接口的，招标人不再向中标人支付接口费用。</w:t>
      </w:r>
    </w:p>
    <w:p>
      <w:pPr>
        <w:rPr>
          <w:rFonts w:hint="eastAsia"/>
          <w:sz w:val="24"/>
          <w:szCs w:val="24"/>
          <w:lang w:val="en-US" w:eastAsia="zh-CN"/>
        </w:rPr>
      </w:pPr>
      <w:r>
        <w:rPr>
          <w:rFonts w:hint="eastAsia"/>
          <w:sz w:val="24"/>
          <w:szCs w:val="24"/>
          <w:lang w:val="en-US" w:eastAsia="zh-CN"/>
        </w:rPr>
        <w:t>11.中标人不承担由第三方接口产生的费用。（不包含9内容）</w:t>
      </w:r>
    </w:p>
    <w:p>
      <w:pPr>
        <w:rPr>
          <w:rFonts w:hint="eastAsia"/>
          <w:sz w:val="24"/>
          <w:szCs w:val="24"/>
          <w:lang w:val="en-US" w:eastAsia="zh-CN"/>
        </w:rPr>
      </w:pPr>
      <w:r>
        <w:rPr>
          <w:rFonts w:hint="eastAsia"/>
          <w:sz w:val="24"/>
          <w:szCs w:val="24"/>
          <w:lang w:val="en-US" w:eastAsia="zh-CN"/>
        </w:rPr>
        <w:t>12.在本项目软件使用及维保有效期内，本项目软件在每个使用科室使用的终端数量不受限制，数据不得加密，不得使用加密狗、打印加密、功能加密等任何软件使用约束。</w:t>
      </w:r>
    </w:p>
    <w:p>
      <w:pPr>
        <w:rPr>
          <w:rFonts w:hint="eastAsia"/>
          <w:sz w:val="24"/>
          <w:szCs w:val="24"/>
          <w:lang w:val="en-US" w:eastAsia="zh-CN"/>
        </w:rPr>
      </w:pPr>
      <w:r>
        <w:rPr>
          <w:rFonts w:hint="eastAsia"/>
          <w:sz w:val="24"/>
          <w:szCs w:val="24"/>
          <w:lang w:val="en-US" w:eastAsia="zh-CN"/>
        </w:rPr>
        <w:t>13.软件部分按总价进行报价，不能以安装工作站数量进行报价。</w:t>
      </w:r>
    </w:p>
    <w:p>
      <w:pPr>
        <w:rPr>
          <w:rFonts w:hint="eastAsia"/>
          <w:sz w:val="24"/>
          <w:szCs w:val="24"/>
          <w:lang w:val="en-US" w:eastAsia="zh-CN"/>
        </w:rPr>
      </w:pPr>
      <w:r>
        <w:rPr>
          <w:rFonts w:hint="eastAsia"/>
          <w:sz w:val="24"/>
          <w:szCs w:val="24"/>
          <w:lang w:val="en-US" w:eastAsia="zh-CN"/>
        </w:rPr>
        <w:t>14.现有系统需完成旧系统中的历史数据导入，旧系统中非自动产生的数据（如手工输入值等），在新系统中可不体现或以默认值体现。若有涉及接口费用，由中标方负责，招标方不再向中标人支付接口费用。</w:t>
      </w:r>
    </w:p>
    <w:p>
      <w:pPr>
        <w:rPr>
          <w:rFonts w:hint="eastAsia"/>
          <w:sz w:val="24"/>
          <w:szCs w:val="24"/>
          <w:lang w:val="en-US" w:eastAsia="zh-CN"/>
        </w:rPr>
      </w:pPr>
      <w:r>
        <w:rPr>
          <w:rFonts w:hint="eastAsia"/>
          <w:sz w:val="24"/>
          <w:szCs w:val="24"/>
          <w:lang w:val="en-US" w:eastAsia="zh-CN"/>
        </w:rPr>
        <w:t>15.软件版面色彩、风格等应按医院要求设计制作；软件标题只能出现医院logo及系统名称，不能出现公司名称，公司名称允许在帮助（help）的关于（about）中出现。具体版面另行通知。</w:t>
      </w:r>
    </w:p>
    <w:p>
      <w:pPr>
        <w:rPr>
          <w:rFonts w:hint="eastAsia"/>
          <w:sz w:val="24"/>
          <w:szCs w:val="24"/>
          <w:lang w:val="en-US" w:eastAsia="zh-CN"/>
        </w:rPr>
      </w:pPr>
      <w:r>
        <w:rPr>
          <w:rFonts w:hint="eastAsia"/>
          <w:sz w:val="24"/>
          <w:szCs w:val="24"/>
          <w:lang w:val="en-US" w:eastAsia="zh-CN"/>
        </w:rPr>
        <w:t>16、系统安装调试并经验收合格后，应对采购方的相关人员提供关于系统应用时技术和操作方面的培训。相关培训费用应包含在投标总价中。 </w:t>
      </w:r>
    </w:p>
    <w:p>
      <w:pPr>
        <w:rPr>
          <w:rFonts w:hint="eastAsia"/>
          <w:sz w:val="24"/>
          <w:szCs w:val="24"/>
          <w:lang w:val="en-US" w:eastAsia="zh-CN"/>
        </w:rPr>
      </w:pPr>
    </w:p>
    <w:p>
      <w:pPr>
        <w:widowControl/>
        <w:jc w:val="left"/>
      </w:pPr>
      <w:r>
        <w:br w:type="page"/>
      </w:r>
    </w:p>
    <w:p/>
    <w:p>
      <w:pPr>
        <w:keepNext/>
        <w:widowControl/>
        <w:shd w:val="clear" w:color="auto" w:fill="FFFFFF"/>
        <w:autoSpaceDE w:val="0"/>
        <w:spacing w:before="120" w:after="120"/>
        <w:rPr>
          <w:rFonts w:ascii="仿宋" w:hAnsi="仿宋" w:eastAsia="仿宋" w:cs="仿宋"/>
          <w:b/>
          <w:color w:val="000000"/>
          <w:kern w:val="0"/>
          <w:sz w:val="28"/>
          <w:szCs w:val="28"/>
          <w:shd w:val="clear" w:color="auto" w:fill="FFFFFF"/>
        </w:rPr>
      </w:pPr>
      <w:r>
        <w:rPr>
          <w:rFonts w:hint="eastAsia" w:ascii="仿宋" w:hAnsi="仿宋" w:eastAsia="仿宋" w:cs="仿宋"/>
          <w:b/>
          <w:color w:val="000000"/>
          <w:kern w:val="0"/>
          <w:sz w:val="28"/>
          <w:szCs w:val="28"/>
        </w:rPr>
        <w:t>三、</w:t>
      </w:r>
      <w:r>
        <w:rPr>
          <w:rFonts w:hint="eastAsia" w:ascii="仿宋" w:hAnsi="仿宋" w:eastAsia="仿宋" w:cs="仿宋"/>
          <w:b/>
          <w:color w:val="000000"/>
          <w:kern w:val="0"/>
          <w:sz w:val="28"/>
          <w:szCs w:val="28"/>
          <w:shd w:val="clear" w:color="auto" w:fill="FFFFFF"/>
        </w:rPr>
        <w:t>本次调研说明</w:t>
      </w:r>
    </w:p>
    <w:p>
      <w:pPr>
        <w:spacing w:line="590" w:lineRule="exact"/>
        <w:ind w:firstLine="562" w:firstLineChars="200"/>
        <w:rPr>
          <w:rFonts w:ascii="仿宋_GB2312" w:eastAsia="仿宋_GB2312"/>
          <w:b/>
          <w:bCs/>
          <w:sz w:val="28"/>
          <w:szCs w:val="28"/>
        </w:rPr>
      </w:pPr>
      <w:r>
        <w:rPr>
          <w:rFonts w:hint="eastAsia" w:ascii="仿宋_GB2312" w:eastAsia="仿宋_GB2312"/>
          <w:b/>
          <w:bCs/>
          <w:sz w:val="28"/>
          <w:szCs w:val="28"/>
        </w:rPr>
        <w:t>欢迎有意向的供应商参与本次调研。</w:t>
      </w:r>
    </w:p>
    <w:p>
      <w:pPr>
        <w:numPr>
          <w:ilvl w:val="0"/>
          <w:numId w:val="3"/>
        </w:numPr>
        <w:spacing w:line="590" w:lineRule="exact"/>
        <w:ind w:firstLine="560" w:firstLineChars="200"/>
        <w:rPr>
          <w:rFonts w:ascii="仿宋_GB2312" w:eastAsia="仿宋_GB2312"/>
          <w:sz w:val="28"/>
          <w:szCs w:val="28"/>
        </w:rPr>
      </w:pPr>
      <w:r>
        <w:rPr>
          <w:rFonts w:hint="eastAsia" w:ascii="仿宋_GB2312" w:eastAsia="仿宋_GB2312"/>
          <w:sz w:val="28"/>
          <w:szCs w:val="28"/>
        </w:rPr>
        <w:t>本调研会的报价仅做为本项目公开招标的预算限价；</w:t>
      </w:r>
    </w:p>
    <w:p>
      <w:pPr>
        <w:numPr>
          <w:ilvl w:val="0"/>
          <w:numId w:val="3"/>
        </w:numPr>
        <w:spacing w:line="590" w:lineRule="exact"/>
        <w:ind w:firstLine="560" w:firstLineChars="200"/>
        <w:rPr>
          <w:rFonts w:ascii="仿宋_GB2312" w:eastAsia="仿宋_GB2312"/>
          <w:sz w:val="28"/>
          <w:szCs w:val="28"/>
        </w:rPr>
      </w:pPr>
      <w:r>
        <w:rPr>
          <w:rFonts w:hint="eastAsia" w:ascii="仿宋_GB2312" w:eastAsia="仿宋_GB2312"/>
          <w:sz w:val="28"/>
          <w:szCs w:val="28"/>
        </w:rPr>
        <w:t>本调研会不做参与投标的限制条件；</w:t>
      </w:r>
    </w:p>
    <w:p>
      <w:pPr>
        <w:numPr>
          <w:ilvl w:val="0"/>
          <w:numId w:val="3"/>
        </w:numPr>
        <w:spacing w:line="590" w:lineRule="exact"/>
        <w:ind w:firstLine="560" w:firstLineChars="200"/>
        <w:rPr>
          <w:rFonts w:ascii="仿宋_GB2312" w:eastAsia="仿宋_GB2312"/>
          <w:sz w:val="28"/>
          <w:szCs w:val="28"/>
        </w:rPr>
      </w:pPr>
      <w:r>
        <w:rPr>
          <w:rFonts w:hint="eastAsia" w:ascii="仿宋_GB2312" w:eastAsia="仿宋_GB2312"/>
          <w:sz w:val="28"/>
          <w:szCs w:val="28"/>
        </w:rPr>
        <w:t>上述各参数将做为本项目招标的主要参数，不代表本项目公开招标的最终参数；</w:t>
      </w:r>
    </w:p>
    <w:p>
      <w:pPr>
        <w:numPr>
          <w:ilvl w:val="0"/>
          <w:numId w:val="3"/>
        </w:numPr>
        <w:spacing w:line="590" w:lineRule="exact"/>
        <w:ind w:firstLine="560"/>
        <w:rPr>
          <w:rFonts w:ascii="仿宋_GB2312" w:eastAsia="仿宋_GB2312"/>
          <w:sz w:val="28"/>
          <w:szCs w:val="28"/>
        </w:rPr>
      </w:pPr>
      <w:r>
        <w:rPr>
          <w:rFonts w:hint="eastAsia" w:ascii="仿宋_GB2312" w:eastAsia="仿宋_GB2312"/>
          <w:sz w:val="28"/>
          <w:szCs w:val="28"/>
        </w:rPr>
        <w:t>参加调研会的公司应准备PPT材料（含方案介绍、服务及集成能力、应用案例、报价等）、技术参数等材料，每公司讲解时间30分钟（含答疑10分钟）；同时上述材料须交予院方留档（可提供U盘留档）。</w:t>
      </w:r>
    </w:p>
    <w:p>
      <w:pPr>
        <w:widowControl/>
        <w:shd w:val="clear" w:color="auto" w:fill="FFFFFF"/>
        <w:spacing w:line="336" w:lineRule="auto"/>
        <w:jc w:val="center"/>
        <w:rPr>
          <w:rFonts w:ascii="宋体" w:hAnsi="宋体" w:cs="宋体"/>
          <w:b/>
          <w:bCs/>
          <w:color w:val="000000"/>
          <w:sz w:val="28"/>
          <w:szCs w:val="28"/>
          <w:shd w:val="clear" w:color="auto" w:fill="FFFFFF"/>
        </w:rPr>
        <w:sectPr>
          <w:footerReference r:id="rId4" w:type="default"/>
          <w:pgSz w:w="12240" w:h="15840"/>
          <w:pgMar w:top="1134" w:right="1587" w:bottom="1134" w:left="1587" w:header="720" w:footer="720" w:gutter="0"/>
          <w:cols w:space="720" w:num="1"/>
          <w:docGrid w:type="lines" w:linePitch="316" w:charSpace="0"/>
        </w:sectPr>
      </w:pPr>
    </w:p>
    <w:p>
      <w:pPr>
        <w:widowControl/>
        <w:shd w:val="clear" w:color="auto" w:fill="FFFFFF"/>
        <w:spacing w:line="336" w:lineRule="auto"/>
        <w:jc w:val="center"/>
        <w:rPr>
          <w:rFonts w:ascii="仿宋" w:hAnsi="仿宋" w:eastAsia="仿宋" w:cs="仿宋"/>
          <w:b/>
          <w:bCs/>
          <w:sz w:val="28"/>
          <w:szCs w:val="28"/>
        </w:rPr>
      </w:pPr>
      <w:r>
        <w:rPr>
          <w:rFonts w:hint="eastAsia" w:ascii="仿宋" w:hAnsi="仿宋" w:eastAsia="仿宋" w:cs="仿宋"/>
          <w:b/>
          <w:bCs/>
          <w:color w:val="000000"/>
          <w:sz w:val="28"/>
          <w:szCs w:val="28"/>
          <w:shd w:val="clear" w:color="auto" w:fill="FFFFFF"/>
        </w:rPr>
        <w:t>项目文件回执单</w:t>
      </w:r>
    </w:p>
    <w:p>
      <w:pPr>
        <w:widowControl/>
        <w:shd w:val="clear" w:color="auto" w:fill="FFFFFF"/>
        <w:spacing w:line="336" w:lineRule="auto"/>
        <w:ind w:left="420" w:firstLine="420"/>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请有意参与的各公司在项目公示期内将回执单送到“福建省肿瘤医院网络办”。</w:t>
      </w:r>
    </w:p>
    <w:tbl>
      <w:tblPr>
        <w:tblW w:w="8519" w:type="dxa"/>
        <w:jc w:val="center"/>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336"/>
        <w:gridCol w:w="3139"/>
        <w:gridCol w:w="2022"/>
        <w:gridCol w:w="2022"/>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439" w:hRule="atLeast"/>
          <w:jc w:val="center"/>
        </w:trPr>
        <w:tc>
          <w:tcPr>
            <w:tcW w:w="13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b/>
                <w:kern w:val="0"/>
                <w:sz w:val="28"/>
                <w:szCs w:val="28"/>
              </w:rPr>
              <w:t>序号</w:t>
            </w:r>
          </w:p>
        </w:tc>
        <w:tc>
          <w:tcPr>
            <w:tcW w:w="313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b/>
                <w:kern w:val="0"/>
                <w:sz w:val="28"/>
                <w:szCs w:val="28"/>
              </w:rPr>
              <w:t>公司名称</w:t>
            </w:r>
          </w:p>
        </w:tc>
        <w:tc>
          <w:tcPr>
            <w:tcW w:w="20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b/>
                <w:kern w:val="0"/>
                <w:sz w:val="28"/>
                <w:szCs w:val="28"/>
              </w:rPr>
              <w:t>产品名称</w:t>
            </w:r>
          </w:p>
        </w:tc>
        <w:tc>
          <w:tcPr>
            <w:tcW w:w="20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b/>
                <w:kern w:val="0"/>
                <w:sz w:val="28"/>
                <w:szCs w:val="28"/>
              </w:rPr>
              <w:t>报价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1</w:t>
            </w:r>
          </w:p>
        </w:tc>
        <w:tc>
          <w:tcPr>
            <w:tcW w:w="3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2</w:t>
            </w:r>
          </w:p>
        </w:tc>
        <w:tc>
          <w:tcPr>
            <w:tcW w:w="3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3</w:t>
            </w:r>
          </w:p>
        </w:tc>
        <w:tc>
          <w:tcPr>
            <w:tcW w:w="3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4</w:t>
            </w:r>
          </w:p>
        </w:tc>
        <w:tc>
          <w:tcPr>
            <w:tcW w:w="3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5</w:t>
            </w:r>
          </w:p>
        </w:tc>
        <w:tc>
          <w:tcPr>
            <w:tcW w:w="3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r>
    </w:tbl>
    <w:p>
      <w:pPr>
        <w:widowControl/>
        <w:shd w:val="clear" w:color="auto" w:fill="FFFFFF"/>
        <w:spacing w:line="336" w:lineRule="auto"/>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 </w:t>
      </w:r>
    </w:p>
    <w:p>
      <w:pPr>
        <w:widowControl/>
        <w:shd w:val="clear" w:color="auto" w:fill="FFFFFF"/>
        <w:spacing w:line="336" w:lineRule="auto"/>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公司名称：</w:t>
      </w:r>
    </w:p>
    <w:p>
      <w:pPr>
        <w:widowControl/>
        <w:shd w:val="clear" w:color="auto" w:fill="FFFFFF"/>
        <w:spacing w:line="336" w:lineRule="auto"/>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联系人：　</w:t>
      </w:r>
    </w:p>
    <w:p>
      <w:pPr>
        <w:widowControl/>
        <w:shd w:val="clear" w:color="auto" w:fill="FFFFFF"/>
        <w:spacing w:line="336" w:lineRule="auto"/>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联系电话：</w:t>
      </w:r>
    </w:p>
    <w:p>
      <w:pPr>
        <w:widowControl/>
        <w:shd w:val="clear" w:color="auto" w:fill="FFFFFF"/>
        <w:spacing w:line="336" w:lineRule="auto"/>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邮箱号：　</w:t>
      </w:r>
      <w:r>
        <w:rPr>
          <w:rFonts w:hint="eastAsia" w:ascii="仿宋" w:hAnsi="仿宋" w:eastAsia="仿宋" w:cs="仿宋"/>
          <w:b/>
          <w:color w:val="000000"/>
          <w:kern w:val="0"/>
          <w:sz w:val="28"/>
          <w:szCs w:val="28"/>
          <w:u w:val="single"/>
          <w:shd w:val="clear" w:color="auto" w:fill="FFFFFF"/>
        </w:rPr>
        <w:t>　　　　　　　　　　　　　　 </w:t>
      </w:r>
    </w:p>
    <w:p>
      <w:pPr>
        <w:widowControl/>
        <w:shd w:val="clear" w:color="auto" w:fill="FFFFFF"/>
        <w:spacing w:line="336" w:lineRule="auto"/>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公司盖章：</w:t>
      </w:r>
    </w:p>
    <w:p>
      <w:pPr>
        <w:widowControl/>
        <w:shd w:val="clear" w:color="auto" w:fill="FFFFFF"/>
        <w:spacing w:line="336" w:lineRule="auto"/>
        <w:jc w:val="center"/>
        <w:rPr>
          <w:sz w:val="28"/>
          <w:szCs w:val="28"/>
        </w:rPr>
      </w:pPr>
      <w:r>
        <w:rPr>
          <w:rFonts w:hint="eastAsia" w:ascii="宋体" w:hAnsi="宋体" w:cs="宋体"/>
          <w:b/>
          <w:color w:val="000000"/>
          <w:kern w:val="0"/>
          <w:sz w:val="28"/>
          <w:szCs w:val="28"/>
          <w:shd w:val="clear" w:color="auto" w:fill="FFFFFF"/>
        </w:rPr>
        <w:t> </w:t>
      </w:r>
    </w:p>
    <w:p>
      <w:pPr>
        <w:spacing w:line="590" w:lineRule="exact"/>
        <w:jc w:val="right"/>
        <w:rPr>
          <w:rFonts w:ascii="仿宋_GB2312" w:eastAsia="仿宋_GB2312"/>
          <w:sz w:val="32"/>
          <w:szCs w:val="32"/>
        </w:rPr>
      </w:pPr>
      <w:r>
        <w:rPr>
          <w:rFonts w:hint="eastAsia" w:ascii="宋体" w:hAnsi="宋体" w:cs="宋体"/>
          <w:b/>
          <w:color w:val="000000"/>
          <w:kern w:val="0"/>
          <w:sz w:val="28"/>
          <w:szCs w:val="28"/>
          <w:shd w:val="clear" w:color="auto" w:fill="FFFFFF"/>
        </w:rPr>
        <w:t>　　　　　　　</w:t>
      </w:r>
      <w:r>
        <w:rPr>
          <w:rFonts w:hint="eastAsia" w:ascii="仿宋" w:hAnsi="仿宋" w:eastAsia="仿宋" w:cs="仿宋"/>
          <w:b/>
          <w:color w:val="000000"/>
          <w:kern w:val="0"/>
          <w:sz w:val="28"/>
          <w:szCs w:val="28"/>
          <w:shd w:val="clear" w:color="auto" w:fill="FFFFFF"/>
        </w:rPr>
        <w:t>　　　　　　 202</w:t>
      </w:r>
      <w:r>
        <w:rPr>
          <w:rFonts w:ascii="仿宋" w:hAnsi="仿宋" w:eastAsia="仿宋" w:cs="仿宋"/>
          <w:b/>
          <w:color w:val="000000"/>
          <w:kern w:val="0"/>
          <w:sz w:val="28"/>
          <w:szCs w:val="28"/>
          <w:shd w:val="clear" w:color="auto" w:fill="FFFFFF"/>
        </w:rPr>
        <w:t>2</w:t>
      </w:r>
      <w:r>
        <w:rPr>
          <w:rFonts w:hint="eastAsia" w:ascii="仿宋" w:hAnsi="仿宋" w:eastAsia="仿宋" w:cs="仿宋"/>
          <w:b/>
          <w:color w:val="000000"/>
          <w:kern w:val="0"/>
          <w:sz w:val="28"/>
          <w:szCs w:val="28"/>
          <w:shd w:val="clear" w:color="auto" w:fill="FFFFFF"/>
        </w:rPr>
        <w:t>年　月　日　</w:t>
      </w:r>
      <w:r>
        <w:rPr>
          <w:rFonts w:hint="eastAsia" w:ascii="宋体" w:hAnsi="宋体" w:cs="宋体"/>
          <w:b/>
          <w:color w:val="000000"/>
          <w:kern w:val="0"/>
          <w:sz w:val="28"/>
          <w:szCs w:val="28"/>
          <w:shd w:val="clear" w:color="auto" w:fill="FFFFFF"/>
        </w:rPr>
        <w:t>　</w:t>
      </w:r>
    </w:p>
    <w:sectPr>
      <w:pgSz w:w="12240" w:h="15840"/>
      <w:pgMar w:top="1134" w:right="1587" w:bottom="1134"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r>
      <w:rPr>
        <w:rFonts w:ascii="Calibri" w:hAnsi="Calibri" w:eastAsia="宋体" w:cs="Times New Roman"/>
        <w:kern w:val="2"/>
        <w:sz w:val="18"/>
        <w:szCs w:val="18"/>
        <w:lang w:val="en-US" w:eastAsia="zh-CN" w:bidi="ar-SA"/>
      </w:rPr>
      <w:pict>
        <v:rect id="Quad Arrow 1025" o:spid="_x0000_s1025" style="position:absolute;left:0;margin-top:0pt;height:12.8pt;width:5.3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455590503">
    <w:nsid w:val="925D5667"/>
    <w:multiLevelType w:val="singleLevel"/>
    <w:tmpl w:val="925D5667"/>
    <w:lvl w:ilvl="0" w:tentative="1">
      <w:start w:val="1"/>
      <w:numFmt w:val="chineseCounting"/>
      <w:suff w:val="nothing"/>
      <w:lvlText w:val="%1、"/>
      <w:lvlJc w:val="left"/>
      <w:rPr>
        <w:rFonts w:hint="eastAsia"/>
      </w:rPr>
    </w:lvl>
  </w:abstractNum>
  <w:abstractNum w:abstractNumId="1623815692">
    <w:nsid w:val="60C9760C"/>
    <w:multiLevelType w:val="singleLevel"/>
    <w:tmpl w:val="60C9760C"/>
    <w:lvl w:ilvl="0" w:tentative="1">
      <w:start w:val="1"/>
      <w:numFmt w:val="decimal"/>
      <w:suff w:val="nothing"/>
      <w:lvlText w:val="%1、"/>
      <w:lvlJc w:val="left"/>
    </w:lvl>
  </w:abstractNum>
  <w:abstractNum w:abstractNumId="1489365809">
    <w:nsid w:val="58C5EB31"/>
    <w:multiLevelType w:val="singleLevel"/>
    <w:tmpl w:val="58C5EB31"/>
    <w:lvl w:ilvl="0" w:tentative="1">
      <w:start w:val="1"/>
      <w:numFmt w:val="decimal"/>
      <w:lvlText w:val="%1."/>
      <w:lvlJc w:val="left"/>
      <w:pPr>
        <w:tabs>
          <w:tab w:val="left" w:pos="312"/>
        </w:tabs>
      </w:pPr>
    </w:lvl>
  </w:abstractNum>
  <w:num w:numId="1">
    <w:abstractNumId w:val="2455590503"/>
  </w:num>
  <w:num w:numId="2">
    <w:abstractNumId w:val="1489365809"/>
  </w:num>
  <w:num w:numId="3">
    <w:abstractNumId w:val="16238156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TA1MjYxZjlhMjNmZTYxODk3ZDM3Zjc4MjhjMjI2Mjg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99"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link w:val="20"/>
    <w:qFormat/>
    <w:uiPriority w:val="0"/>
    <w:pPr>
      <w:keepNext/>
      <w:keepLines/>
      <w:spacing w:before="260" w:after="260" w:line="416" w:lineRule="auto"/>
      <w:outlineLvl w:val="1"/>
    </w:pPr>
    <w:rPr>
      <w:rFonts w:ascii="Calibri Light" w:hAnsi="Calibri Light"/>
      <w:b/>
      <w:bCs/>
      <w:sz w:val="32"/>
      <w:szCs w:val="32"/>
    </w:rPr>
  </w:style>
  <w:style w:type="character" w:default="1" w:styleId="13">
    <w:name w:val="Default Paragraph Font"/>
    <w:semiHidden/>
    <w:unhideWhenUsed/>
    <w:uiPriority w:val="1"/>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0"/>
    <w:pPr>
      <w:spacing w:after="120"/>
      <w:ind w:left="420" w:leftChars="200"/>
    </w:pPr>
    <w:rPr>
      <w:rFonts w:ascii="Calibri" w:hAnsi="Calibri" w:eastAsia="华文中宋"/>
    </w:rPr>
  </w:style>
  <w:style w:type="paragraph" w:styleId="6">
    <w:name w:val="Body Text First Indent"/>
    <w:basedOn w:val="7"/>
    <w:unhideWhenUsed/>
    <w:qFormat/>
    <w:uiPriority w:val="99"/>
    <w:pPr>
      <w:ind w:firstLine="420" w:firstLineChars="100"/>
    </w:pPr>
  </w:style>
  <w:style w:type="paragraph" w:styleId="7">
    <w:name w:val="Body Text"/>
    <w:basedOn w:val="1"/>
    <w:semiHidden/>
    <w:unhideWhenUsed/>
    <w:qFormat/>
    <w:uiPriority w:val="99"/>
    <w:pPr>
      <w:spacing w:after="120"/>
    </w:pPr>
  </w:style>
  <w:style w:type="paragraph" w:styleId="8">
    <w:name w:val="Normal Indent"/>
    <w:basedOn w:val="1"/>
    <w:link w:val="21"/>
    <w:qFormat/>
    <w:uiPriority w:val="0"/>
    <w:pPr>
      <w:ind w:firstLine="420" w:firstLineChars="200"/>
    </w:pPr>
  </w:style>
  <w:style w:type="paragraph" w:styleId="9">
    <w:name w:val="footer"/>
    <w:basedOn w:val="1"/>
    <w:link w:val="18"/>
    <w:qFormat/>
    <w:uiPriority w:val="99"/>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line="336" w:lineRule="auto"/>
      <w:jc w:val="left"/>
    </w:pPr>
    <w:rPr>
      <w:rFonts w:ascii="宋体" w:hAnsi="宋体"/>
      <w:kern w:val="0"/>
      <w:sz w:val="24"/>
    </w:rPr>
  </w:style>
  <w:style w:type="paragraph" w:styleId="12">
    <w:name w:val="Title"/>
    <w:basedOn w:val="1"/>
    <w:next w:val="1"/>
    <w:qFormat/>
    <w:uiPriority w:val="10"/>
    <w:pPr>
      <w:spacing w:before="240" w:after="60"/>
      <w:jc w:val="center"/>
      <w:outlineLvl w:val="0"/>
    </w:pPr>
    <w:rPr>
      <w:rFonts w:ascii="Calibri Light" w:hAnsi="Calibri Light" w:cs="宋体"/>
      <w:b/>
      <w:bCs/>
      <w:sz w:val="32"/>
      <w:szCs w:val="32"/>
    </w:rPr>
  </w:style>
  <w:style w:type="character" w:styleId="14">
    <w:name w:val="Strong"/>
    <w:qFormat/>
    <w:uiPriority w:val="0"/>
    <w:rPr>
      <w:b/>
    </w:rPr>
  </w:style>
  <w:style w:type="paragraph" w:customStyle="1" w:styleId="15">
    <w:name w:val="列出段落1"/>
    <w:basedOn w:val="1"/>
    <w:unhideWhenUsed/>
    <w:qFormat/>
    <w:uiPriority w:val="99"/>
    <w:pPr>
      <w:ind w:firstLine="420" w:firstLineChars="200"/>
    </w:pPr>
  </w:style>
  <w:style w:type="paragraph" w:customStyle="1" w:styleId="16">
    <w:name w:val="List Paragraph"/>
    <w:basedOn w:val="1"/>
    <w:link w:val="19"/>
    <w:qFormat/>
    <w:uiPriority w:val="34"/>
    <w:pPr>
      <w:widowControl/>
      <w:spacing w:before="100" w:beforeAutospacing="1" w:after="100" w:afterAutospacing="1" w:line="360" w:lineRule="auto"/>
      <w:ind w:firstLine="420" w:firstLineChars="200"/>
      <w:jc w:val="left"/>
    </w:pPr>
    <w:rPr>
      <w:rFonts w:ascii="Calibri" w:hAnsi="Calibri" w:eastAsia="宋体"/>
      <w:szCs w:val="22"/>
    </w:rPr>
  </w:style>
  <w:style w:type="character" w:customStyle="1" w:styleId="17">
    <w:name w:val="页眉 字符"/>
    <w:link w:val="10"/>
    <w:qFormat/>
    <w:uiPriority w:val="0"/>
    <w:rPr>
      <w:rFonts w:ascii="Calibri" w:hAnsi="Calibri" w:eastAsia="宋体"/>
      <w:kern w:val="2"/>
      <w:sz w:val="18"/>
      <w:szCs w:val="18"/>
    </w:rPr>
  </w:style>
  <w:style w:type="character" w:customStyle="1" w:styleId="18">
    <w:name w:val="页脚 字符"/>
    <w:link w:val="9"/>
    <w:qFormat/>
    <w:uiPriority w:val="99"/>
    <w:rPr>
      <w:rFonts w:ascii="Calibri" w:hAnsi="Calibri" w:eastAsia="宋体"/>
      <w:kern w:val="2"/>
      <w:sz w:val="18"/>
      <w:szCs w:val="18"/>
    </w:rPr>
  </w:style>
  <w:style w:type="character" w:customStyle="1" w:styleId="19">
    <w:name w:val="列表段落 字符"/>
    <w:link w:val="16"/>
    <w:qFormat/>
    <w:uiPriority w:val="34"/>
    <w:rPr>
      <w:rFonts w:ascii="Calibri" w:hAnsi="Calibri" w:eastAsia="宋体"/>
      <w:kern w:val="2"/>
      <w:sz w:val="21"/>
      <w:szCs w:val="22"/>
    </w:rPr>
  </w:style>
  <w:style w:type="character" w:customStyle="1" w:styleId="20">
    <w:name w:val="标题 2 字符"/>
    <w:link w:val="5"/>
    <w:qFormat/>
    <w:uiPriority w:val="0"/>
    <w:rPr>
      <w:rFonts w:ascii="Calibri Light" w:hAnsi="Calibri Light" w:cs="Times New Roman"/>
      <w:b/>
      <w:bCs/>
      <w:kern w:val="2"/>
      <w:sz w:val="32"/>
      <w:szCs w:val="32"/>
    </w:rPr>
  </w:style>
  <w:style w:type="character" w:customStyle="1" w:styleId="21">
    <w:name w:val="正文缩进 字符"/>
    <w:link w:val="8"/>
    <w:qFormat/>
    <w:uiPriority w:val="0"/>
    <w:rPr>
      <w:rFonts w:cs="Times New Roman"/>
      <w:kern w:val="2"/>
      <w:sz w:val="21"/>
      <w:szCs w:val="24"/>
    </w:rPr>
  </w:style>
  <w:style w:type="character" w:customStyle="1" w:styleId="22">
    <w:name w:val="列出段落 Char"/>
    <w:qFormat/>
    <w:uiPriority w:val="34"/>
    <w:rPr>
      <w:rFonts w:cs="宋体"/>
      <w:kern w:val="2"/>
      <w:sz w:val="21"/>
      <w:szCs w:val="2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2051</Words>
  <Characters>2181</Characters>
  <Lines>7</Lines>
  <Paragraphs>2</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2021-10-21T06:00:00Z</dcterms:created>
  <dc:creator>air</dc:creator>
  <cp:lastModifiedBy>Administrator</cp:lastModifiedBy>
  <cp:lastPrinted>2021-06-16T01:18:00Z</cp:lastPrinted>
  <dcterms:modified xsi:type="dcterms:W3CDTF">2022-10-24T01:50:10Z</dcterms:modified>
  <dc:title>关于网络及安全设备的采购、更新报告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1BEEFF9A3DF242979BDAEC332CFBD191</vt:lpwstr>
  </property>
</Properties>
</file>