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2"/>
        <w:jc w:val="center"/>
        <w:rPr>
          <w:rFonts w:ascii="方正小标宋简体" w:eastAsia="方正小标宋简体"/>
          <w:b w:val="0"/>
          <w:kern w:val="2"/>
          <w:sz w:val="36"/>
          <w:szCs w:val="36"/>
        </w:rPr>
      </w:pPr>
      <w:r>
        <w:rPr>
          <w:rFonts w:hint="eastAsia" w:ascii="方正小标宋简体" w:eastAsia="方正小标宋简体"/>
          <w:b w:val="0"/>
          <w:kern w:val="2"/>
          <w:sz w:val="36"/>
          <w:szCs w:val="36"/>
        </w:rPr>
        <w:t>移动护理及护理文书系统升级项目调研公示</w:t>
      </w:r>
    </w:p>
    <w:p>
      <w:pPr>
        <w:widowControl/>
        <w:shd w:val="clear" w:color="auto" w:fill="FFFFFF"/>
        <w:spacing w:line="336" w:lineRule="auto"/>
        <w:jc w:val="center"/>
      </w:pPr>
      <w:r>
        <w:rPr>
          <w:rFonts w:hint="eastAsia"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第一部分 须知前附表</w:t>
      </w:r>
    </w:p>
    <w:p>
      <w:pPr>
        <w:widowControl/>
        <w:shd w:val="clear" w:color="auto" w:fill="FFFFFF"/>
        <w:spacing w:line="336" w:lineRule="auto"/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tbl>
      <w:tblPr>
        <w:tblW w:w="8745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64"/>
        <w:gridCol w:w="778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9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widowControl/>
              <w:spacing w:line="360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</w:rPr>
              <w:t>序号</w:t>
            </w:r>
          </w:p>
        </w:tc>
        <w:tc>
          <w:tcPr>
            <w:tcW w:w="778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主　　　要　　　 内　　　 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4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1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调研报名公示开始时间：202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10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调研报名截止时间：202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10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 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 xml:space="preserve"> 26</w:t>
            </w:r>
            <w:bookmarkStart w:id="0" w:name="_GoBack"/>
            <w:bookmarkEnd w:id="0"/>
            <w:r>
              <w:rPr>
                <w:rFonts w:ascii="仿宋" w:hAnsi="仿宋" w:eastAsia="仿宋" w:cs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日下午17分北京时间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(报名请携带加盖公章的项目文件回执单、营业执照复印件、公司简介)</w:t>
            </w: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15" w:lineRule="atLeast"/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调研会时间：</w:t>
            </w:r>
            <w:r>
              <w:rPr>
                <w:rFonts w:hint="eastAsia" w:ascii="仿宋_GB2312" w:eastAsia="仿宋_GB2312"/>
                <w:sz w:val="24"/>
                <w:u w:val="single"/>
              </w:rPr>
              <w:t>调研会议时间另行通知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9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2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项目： </w:t>
            </w:r>
            <w:r>
              <w:rPr>
                <w:rFonts w:hint="eastAsia" w:ascii="方正小标宋简体" w:eastAsia="方正小标宋简体"/>
                <w:sz w:val="28"/>
                <w:szCs w:val="28"/>
              </w:rPr>
              <w:t>移动护理及护理文书系统升级项目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5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3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文件正本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1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份，副本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eastAsia="仿宋" w:cs="Calibri"/>
                <w:color w:val="000000"/>
                <w:kern w:val="0"/>
                <w:sz w:val="24"/>
                <w:u w:val="single"/>
              </w:rPr>
              <w:t> </w:t>
            </w:r>
            <w:r>
              <w:rPr>
                <w:rFonts w:ascii="仿宋" w:hAnsi="仿宋" w:eastAsia="仿宋" w:cs="仿宋"/>
                <w:color w:val="000000"/>
                <w:kern w:val="0"/>
                <w:sz w:val="24"/>
                <w:u w:val="single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份。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1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4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文件递交处：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u w:val="single"/>
              </w:rPr>
              <w:t>　福建省肿瘤医院 网络办会议室　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  <w:jc w:val="center"/>
        </w:trPr>
        <w:tc>
          <w:tcPr>
            <w:tcW w:w="964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5</w:t>
            </w:r>
          </w:p>
        </w:tc>
        <w:tc>
          <w:tcPr>
            <w:tcW w:w="778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15" w:lineRule="atLeas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上述时间、地点如有变动，以单位届时通知为准。</w:t>
            </w:r>
          </w:p>
        </w:tc>
      </w:tr>
    </w:tbl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地　址： 福建省福州市福马路420号 福建省肿瘤医院科研楼四楼网络办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邮　编： 3500</w:t>
      </w:r>
      <w:r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  <w:t>14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　 </w:t>
      </w:r>
    </w:p>
    <w:p>
      <w:pPr>
        <w:widowControl/>
        <w:shd w:val="clear" w:color="auto" w:fill="FFFFFF"/>
        <w:spacing w:line="440" w:lineRule="atLeas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电　话： 0591-83660063-8822</w:t>
      </w:r>
    </w:p>
    <w:p>
      <w:pPr>
        <w:widowControl/>
        <w:shd w:val="clear" w:color="auto" w:fill="FFFFFF"/>
        <w:spacing w:line="440" w:lineRule="atLeast"/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联系人： 金工</w:t>
      </w:r>
    </w:p>
    <w:p>
      <w:pPr>
        <w:widowControl/>
        <w:shd w:val="clear" w:color="auto" w:fill="FFFFFF"/>
        <w:spacing w:line="440" w:lineRule="atLeast"/>
        <w:ind w:firstLine="480"/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kern w:val="0"/>
          <w:sz w:val="24"/>
          <w:shd w:val="clear" w:color="auto" w:fill="FFFFFF"/>
        </w:rPr>
        <w:t> </w:t>
      </w: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440" w:lineRule="atLeast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采购内容</w:t>
      </w:r>
    </w:p>
    <w:p>
      <w:pPr>
        <w:widowControl/>
        <w:shd w:val="clear" w:color="auto" w:fill="FFFFFF"/>
        <w:ind w:firstLine="480"/>
        <w:rPr>
          <w:rFonts w:ascii="宋体" w:hAnsi="宋体" w:cs="宋体"/>
          <w:b/>
          <w:color w:val="000000"/>
          <w:kern w:val="0"/>
          <w:sz w:val="24"/>
          <w:shd w:val="clear" w:color="auto" w:fill="FFFFFF"/>
        </w:rPr>
      </w:pPr>
    </w:p>
    <w:tbl>
      <w:tblPr>
        <w:tblW w:w="717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6"/>
        <w:gridCol w:w="3121"/>
        <w:gridCol w:w="1532"/>
        <w:gridCol w:w="15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合同包</w:t>
            </w:r>
          </w:p>
        </w:tc>
        <w:tc>
          <w:tcPr>
            <w:tcW w:w="312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采购标的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数量/单位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预算限价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1-1</w:t>
            </w:r>
          </w:p>
        </w:tc>
        <w:tc>
          <w:tcPr>
            <w:tcW w:w="3121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移动护理及护理文书系统升级项目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</w:rPr>
              <w:t>1</w:t>
            </w:r>
          </w:p>
        </w:tc>
        <w:tc>
          <w:tcPr>
            <w:tcW w:w="1532" w:type="dxa"/>
            <w:vAlign w:val="top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  <w:r>
              <w:rPr>
                <w:rFonts w:ascii="仿宋" w:hAnsi="仿宋" w:eastAsia="仿宋" w:cs="仿宋"/>
                <w:kern w:val="0"/>
                <w:sz w:val="24"/>
              </w:rPr>
              <w:t>200</w:t>
            </w:r>
            <w:r>
              <w:rPr>
                <w:rFonts w:hint="eastAsia" w:ascii="仿宋" w:hAnsi="仿宋" w:eastAsia="仿宋" w:cs="仿宋"/>
                <w:kern w:val="0"/>
                <w:sz w:val="24"/>
              </w:rPr>
              <w:t>万</w:t>
            </w:r>
          </w:p>
        </w:tc>
      </w:tr>
    </w:tbl>
    <w:p>
      <w:pPr>
        <w:keepNext/>
        <w:widowControl/>
        <w:numPr>
          <w:ilvl w:val="0"/>
          <w:numId w:val="1"/>
        </w:numPr>
        <w:shd w:val="clear" w:color="auto" w:fill="FFFFFF"/>
        <w:autoSpaceDE w:val="0"/>
        <w:spacing w:before="120" w:after="120"/>
        <w:ind w:left="420" w:hanging="420"/>
        <w:rPr>
          <w:rFonts w:ascii="仿宋" w:hAnsi="仿宋" w:eastAsia="仿宋" w:cs="仿宋"/>
          <w:b/>
          <w:color w:val="000000"/>
          <w:kern w:val="0"/>
          <w:sz w:val="24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4"/>
          <w:shd w:val="clear" w:color="auto" w:fill="FFFFFF"/>
        </w:rPr>
        <w:t>软件技术功能及服务要求</w:t>
      </w:r>
    </w:p>
    <w:p>
      <w:pPr>
        <w:pStyle w:val="4"/>
        <w:numPr>
          <w:ilvl w:val="0"/>
          <w:numId w:val="2"/>
        </w:numPr>
        <w:spacing w:before="120" w:after="120" w:line="300" w:lineRule="auto"/>
        <w:ind w:left="0" w:firstLine="0"/>
        <w:rPr>
          <w:rFonts w:ascii="宋体" w:hAnsi="宋体" w:cs="宋体"/>
          <w:b w:val="0"/>
          <w:bCs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移动护理系统</w:t>
      </w:r>
    </w:p>
    <w:tbl>
      <w:tblPr>
        <w:tblW w:w="9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kern w:val="0"/>
                <w:szCs w:val="20"/>
              </w:rPr>
              <w:t>功能模块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jc w:val="center"/>
              <w:rPr>
                <w:rFonts w:hint="eastAsia" w:ascii="宋体" w:hAnsi="宋体"/>
              </w:rPr>
            </w:pPr>
            <w:r>
              <w:rPr>
                <w:rFonts w:hint="eastAsia"/>
                <w:b/>
                <w:kern w:val="0"/>
                <w:szCs w:val="20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腕带管理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支持腕带打印、床头卡打印、腕带绑定等功能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病区管理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支持病人过敏信息查询、手术安排查询、病人统计、病区统计、护士工号打印等功能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病人管理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支持病人列表、病人信息、病人简卡、病人分组管理、病人流转核对、病人流转管理、病人流转查询、转科病人查询等功能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患者交接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支持普通患者、危重患者、血透患者、急诊患者、介入治疗、新生儿、手术患者等转运交接记录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健康教育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支持健康教育字典维护，实现床旁宣教，并生成健康宣教记录单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护理等级巡视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支持通过扫描病人腕带、床头牌或瓶贴等形式完成护理等级巡视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出院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支持对患者进行出院项目进行评估，并提供出院病人查询功能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生命体征管理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支持体温单、全科体征、体征采集智能提示、体征规则配置等功能，并进行体征数据校验，提供脉搏秒表、智能提醒、智能体征键盘等功能以及实现智能体征监测设备对接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医嘱管理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医嘱查询、医嘱拆分、瓶签打印、医嘱执行、医嘱执行记录、医嘱执行巡视、高危药品执行提示、配置药品过期提示、执行超时提示、PDA扫描率、PDA安全卫士、全科临时医嘱、全科长期医嘱、输液观察记录单、医嘱注射记录单、医嘱输液记录单、打印输液巡视卡等功，实现医嘱全流程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入院评估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支持完成患者入院评估单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风险评估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跌倒坠床、压疮、疼痛、滑脱、自理能力、中心导管拔管表、吞咽功能障碍评定、误吸/窒息风险、心理评估、深静脉血栓、Ramsay镇静评分、GCS评估、烫伤风险、简易智力状态检查（MMSE）、营养评估、呼吸机评估、气管插管患者评估、留置导尿管患者评估、临终患者病情评估、MEWS评估等各类评估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记录单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支持病人护理记录单、专科护理记录单、危重护理记录单、血糖结果登记表、保护性约束观察巡视记录单、深静脉导管置入术后维护单、吸氧记录卡、喂养记录单等表单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结果报告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支持查看病人检查、检验结果，支持异常指标提示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护理任务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支持护理计划、护士待做、床旁便签等功能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护理会诊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支持针对会诊流程和所需要会诊的患者，记录护理会诊信息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交班报告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支持按班次时间段统计项目，交班描述可引用病人诊疗信息，最后按医院格式生成交班报告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设置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支持用户切换权限内病区，支持用户只查看自己关注的病人，提供</w:t>
            </w:r>
            <w:r>
              <w:rPr>
                <w:rFonts w:hint="eastAsia" w:ascii="宋体" w:hAnsi="宋体"/>
                <w:szCs w:val="21"/>
              </w:rPr>
              <w:t>界面设置功能，用户可查看版本信息，支持屏幕锁定功能及系统升级提醒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智能登陆 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支持扫描用户工牌二维码自动登录系统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闭环管理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支持静配中心配药输液执行、输液医嘱闭环、针剂用药医嘱闭环、口服药闭环、护理医嘱执行、皮试医嘱闭环、输血备血闭环、患者转运交接闭环、标本采集闭换、护理病历闭环等闭环管理业务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30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文件归档</w:t>
            </w:r>
          </w:p>
        </w:tc>
        <w:tc>
          <w:tcPr>
            <w:tcW w:w="7752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支持护理表单归档操作</w:t>
            </w:r>
          </w:p>
        </w:tc>
      </w:tr>
    </w:tbl>
    <w:p>
      <w:pPr>
        <w:pStyle w:val="4"/>
        <w:numPr>
          <w:ilvl w:val="0"/>
          <w:numId w:val="2"/>
        </w:numPr>
        <w:spacing w:before="120" w:after="120" w:line="300" w:lineRule="auto"/>
        <w:ind w:left="0" w:firstLine="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护理质量管理系统</w:t>
      </w:r>
    </w:p>
    <w:tbl>
      <w:tblPr>
        <w:tblpPr w:leftFromText="4536" w:rightFromText="4536" w:bottomFromText="284" w:vertAnchor="text" w:tblpXSpec="center" w:tblpY="1"/>
        <w:tblOverlap w:val="never"/>
        <w:tblW w:w="9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7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26" w:type="dxa"/>
            <w:vAlign w:val="top"/>
          </w:tcPr>
          <w:p>
            <w:pPr>
              <w:spacing w:before="81" w:after="8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功能模块</w:t>
            </w:r>
          </w:p>
        </w:tc>
        <w:tc>
          <w:tcPr>
            <w:tcW w:w="7756" w:type="dxa"/>
            <w:vAlign w:val="top"/>
          </w:tcPr>
          <w:p>
            <w:pPr>
              <w:spacing w:before="81" w:after="81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  <w:b/>
                <w:bCs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526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人员档案</w:t>
            </w:r>
          </w:p>
        </w:tc>
        <w:tc>
          <w:tcPr>
            <w:tcW w:w="7756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支持我的信息、基本信息维护、人员管理、人员信息审核、人员调配、人员查询与统计、人员信息批量录入、批量导入等功能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排班管理</w:t>
            </w:r>
          </w:p>
        </w:tc>
        <w:tc>
          <w:tcPr>
            <w:tcW w:w="7756" w:type="dxa"/>
            <w:vAlign w:val="top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支持初始值设置、公休假初始值设置、班次设置、排班人员管理、排班记录、查询与统计、请假管理等功能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质量检查</w:t>
            </w:r>
          </w:p>
        </w:tc>
        <w:tc>
          <w:tcPr>
            <w:tcW w:w="7756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/>
              </w:rPr>
              <w:t>支持模板组设置、模板设置、质控人员设置、任务分配、质量检查、持续改进、分析与跟踪、任务进度查看、查询与统计、综合原因分析与追踪等功能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上报事件</w:t>
            </w:r>
          </w:p>
        </w:tc>
        <w:tc>
          <w:tcPr>
            <w:tcW w:w="7756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/>
              </w:rPr>
              <w:t>支持上报填单、上报审批、上报查询、上报统计与分析、鱼骨图设置等功能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</w:trPr>
        <w:tc>
          <w:tcPr>
            <w:tcW w:w="1526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满意度管理</w:t>
            </w:r>
          </w:p>
        </w:tc>
        <w:tc>
          <w:tcPr>
            <w:tcW w:w="7756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支持出院满意度管理、住院满意度管理、护士长满意度等调查，可设置满意度调查模板，并对调查结果自动统计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81" w:after="81"/>
              <w:jc w:val="center"/>
            </w:pPr>
            <w:r>
              <w:rPr>
                <w:rFonts w:hint="eastAsia" w:ascii="宋体" w:hAnsi="宋体" w:cs="宋体"/>
              </w:rPr>
              <w:t>护士长手</w:t>
            </w:r>
            <w:r>
              <w:rPr>
                <w:rFonts w:hint="eastAsia"/>
              </w:rPr>
              <w:t>册</w:t>
            </w:r>
          </w:p>
        </w:tc>
        <w:tc>
          <w:tcPr>
            <w:tcW w:w="7756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板块设置、手册维护、工作计划、工作总结、科室大事件、护理业务查房记录、护理创新项目记录、公休座谈记录、护士安全/质量分析表、护士长晨会提问记录、护理部年计划、护理部年总结、护理部月计划、护理部月总结、护理部业务查房记录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系统配置</w:t>
            </w:r>
          </w:p>
        </w:tc>
        <w:tc>
          <w:tcPr>
            <w:tcW w:w="7756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支持菜单管理、部门维护、角色管理、用户管理、参与检查维护、用户组管理、流程设置、表单设置、系统字典、常用批复设置、表单类型设置、系统参数等功能</w:t>
            </w:r>
          </w:p>
        </w:tc>
      </w:tr>
    </w:tbl>
    <w:p>
      <w:pPr>
        <w:pStyle w:val="4"/>
        <w:numPr>
          <w:ilvl w:val="0"/>
          <w:numId w:val="2"/>
        </w:numPr>
        <w:spacing w:before="120" w:after="120" w:line="300" w:lineRule="auto"/>
        <w:ind w:left="0" w:firstLine="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护理敏感指标系统</w:t>
      </w:r>
    </w:p>
    <w:tbl>
      <w:tblPr>
        <w:tblpPr w:leftFromText="4536" w:rightFromText="4536" w:bottomFromText="284" w:vertAnchor="text" w:tblpXSpec="center" w:tblpY="1"/>
        <w:tblOverlap w:val="never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0"/>
        <w:gridCol w:w="7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功能模块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jc w:val="center"/>
              <w:rPr>
                <w:b/>
                <w:kern w:val="0"/>
                <w:szCs w:val="20"/>
              </w:rPr>
            </w:pPr>
            <w:r>
              <w:rPr>
                <w:rFonts w:hint="eastAsia"/>
                <w:b/>
                <w:kern w:val="0"/>
                <w:szCs w:val="20"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指标变量设置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对指标计算中所需的变量进行设置，可对变量进行增删改查及备注定义等维护操作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指标设置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对国家规定的全部护理敏感质量指标的计算公式进行定义，使用指标设置中的变量对指标进行分析，可对指标进行阈值设置、修改、新增等维护管理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通用指标填报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根据设定的数据填报周期类别（如，月、季度、年），自动提取对应周期内的通用指标填报数据，亦可对提取的数据进行编辑修改，然后进行保存或存档操作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ICU指标填报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rPr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可针对ICU科室特有指标进行填报管理。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指标分析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rPr>
                <w:rFonts w:hint="eastAsia"/>
                <w:kern w:val="0"/>
                <w:szCs w:val="20"/>
              </w:rPr>
            </w:pPr>
            <w:r>
              <w:rPr>
                <w:rFonts w:hint="eastAsia"/>
                <w:kern w:val="0"/>
                <w:szCs w:val="20"/>
              </w:rPr>
              <w:t>根据填报的数据和对应指标的计算公式，对床护比、护患比、每住院患者24小时平均护理时数、不同级别护士的配置、护士离职率、住院患者跌倒发生率、院内压疮发生率、住院患者身体约束率、插管患者非计划拔管发生率、ICU导尿管相关尿路感染发生率、ICU中心导管相关血流感染发生率、ICU呼吸机相关性肺炎发生率等指标进行分析，支持柱状图、趋势图、饼图、表格等多种统计方式展示分析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30" w:type="dxa"/>
            <w:vAlign w:val="center"/>
          </w:tcPr>
          <w:p>
            <w:pPr>
              <w:spacing w:before="81" w:after="81"/>
              <w:jc w:val="center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系统配置</w:t>
            </w:r>
          </w:p>
        </w:tc>
        <w:tc>
          <w:tcPr>
            <w:tcW w:w="7752" w:type="dxa"/>
            <w:vAlign w:val="center"/>
          </w:tcPr>
          <w:p>
            <w:pPr>
              <w:spacing w:before="81" w:after="81"/>
              <w:rPr>
                <w:rFonts w:hint="eastAsia"/>
                <w:kern w:val="0"/>
                <w:szCs w:val="20"/>
              </w:rPr>
            </w:pPr>
            <w:r>
              <w:rPr>
                <w:rFonts w:hint="eastAsia" w:ascii="宋体" w:hAnsi="宋体"/>
                <w:kern w:val="0"/>
                <w:szCs w:val="20"/>
              </w:rPr>
              <w:t>支持菜单管理、部门维护、角色管理、用户管理、系统参数、任务调度等功能</w:t>
            </w:r>
          </w:p>
        </w:tc>
      </w:tr>
    </w:tbl>
    <w:p>
      <w:pPr>
        <w:pStyle w:val="4"/>
        <w:numPr>
          <w:ilvl w:val="0"/>
          <w:numId w:val="2"/>
        </w:numPr>
        <w:spacing w:before="120" w:after="120" w:line="300" w:lineRule="auto"/>
        <w:ind w:left="0" w:firstLine="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护士站公告系统</w:t>
      </w:r>
    </w:p>
    <w:tbl>
      <w:tblPr>
        <w:tblpPr w:leftFromText="4536" w:rightFromText="4536" w:bottomFromText="284" w:vertAnchor="text" w:tblpXSpec="center" w:tblpY="1"/>
        <w:tblOverlap w:val="never"/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5"/>
        <w:gridCol w:w="76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功能模块</w:t>
            </w:r>
          </w:p>
        </w:tc>
        <w:tc>
          <w:tcPr>
            <w:tcW w:w="7627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  <w:b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  <w:jc w:val="center"/>
        </w:trPr>
        <w:tc>
          <w:tcPr>
            <w:tcW w:w="1655" w:type="dxa"/>
            <w:vAlign w:val="center"/>
          </w:tcPr>
          <w:p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患者一览卡</w:t>
            </w:r>
          </w:p>
        </w:tc>
        <w:tc>
          <w:tcPr>
            <w:tcW w:w="7627" w:type="dxa"/>
            <w:vAlign w:val="center"/>
          </w:tcPr>
          <w:p>
            <w:pPr>
              <w:spacing w:before="60" w:after="60"/>
            </w:pPr>
            <w:r>
              <w:rPr>
                <w:rFonts w:hint="eastAsia"/>
              </w:rPr>
              <w:t>支持以卡片形式展示患者的关键信息，包含床号、姓名、护理等级、入院诊断（支持隐藏）、入院天数、过敏，高危标识、欠费、手术信息、主管护士和主治医生等</w:t>
            </w:r>
          </w:p>
          <w:p>
            <w:pPr>
              <w:spacing w:before="60" w:after="60"/>
              <w:rPr>
                <w:rFonts w:ascii="Times" w:hAnsi="Times"/>
              </w:rPr>
            </w:pPr>
            <w:r>
              <w:rPr>
                <w:rFonts w:hint="eastAsia"/>
              </w:rPr>
              <w:t>支持分类展示病区病人情况：在院患者、入院多天、特级（紫色）、一级（红色）、二级（绿色）、三级（黄色）、病危、病重、空床（支持对空床进行备注说明，方便病区了解空床原因和空床安排）、过敏、今日生日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照护</w:t>
            </w:r>
            <w:r>
              <w:rPr>
                <w:rFonts w:ascii="宋体" w:hAnsi="宋体"/>
              </w:rPr>
              <w:t>标识展示</w:t>
            </w:r>
          </w:p>
        </w:tc>
        <w:tc>
          <w:tcPr>
            <w:tcW w:w="7627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通过深度对接</w:t>
            </w:r>
            <w:r>
              <w:rPr>
                <w:rFonts w:ascii="宋体" w:hAnsi="宋体"/>
              </w:rPr>
              <w:t>HIS</w:t>
            </w:r>
            <w:r>
              <w:rPr>
                <w:rFonts w:hint="eastAsia" w:ascii="宋体" w:hAnsi="宋体"/>
              </w:rPr>
              <w:t>系统，动态展示患者的护理标识，如患者的护理等级、病情状态、过敏信息、饮食类型等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手动护理任务管理</w:t>
            </w:r>
          </w:p>
        </w:tc>
        <w:tc>
          <w:tcPr>
            <w:tcW w:w="7627" w:type="dxa"/>
            <w:vAlign w:val="center"/>
          </w:tcPr>
          <w:p>
            <w:pPr>
              <w:spacing w:before="81" w:after="81"/>
              <w:rPr>
                <w:rFonts w:ascii="宋体" w:hAnsi="宋体"/>
                <w:lang w:bidi="en-US"/>
              </w:rPr>
            </w:pPr>
            <w:r>
              <w:rPr>
                <w:rFonts w:hint="eastAsia" w:ascii="宋体" w:hAnsi="宋体"/>
              </w:rPr>
              <w:t>支持手动新增护理任务（如护理监测或处理类任务），有效满足信息匹配规则之外的特殊情形；也支持手动标记护理任务完成进度或取消任务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智能备忘管理</w:t>
            </w:r>
          </w:p>
        </w:tc>
        <w:tc>
          <w:tcPr>
            <w:tcW w:w="7627" w:type="dxa"/>
            <w:vAlign w:val="center"/>
          </w:tcPr>
          <w:p>
            <w:pPr>
              <w:spacing w:before="81" w:after="81"/>
              <w:rPr>
                <w:rFonts w:ascii="宋体" w:hAnsi="宋体"/>
                <w:lang w:bidi="en-US"/>
              </w:rPr>
            </w:pPr>
            <w:r>
              <w:rPr>
                <w:rFonts w:hint="eastAsia" w:ascii="宋体" w:hAnsi="宋体"/>
              </w:rPr>
              <w:t>支持备忘事项的有效期设定和患者绑定，以实现有效期到期、患者转科或出院等情况时，备忘事项能智能消除（也支持手动消除），也支持重要备忘事项的置顶显示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任务标签动态显示</w:t>
            </w:r>
          </w:p>
        </w:tc>
        <w:tc>
          <w:tcPr>
            <w:tcW w:w="7627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支持动态显示各类护理任务标签（智能隐藏没有任务的标签），以便医护人员高效获取信息；也支持用户快速配置（激活或隐藏）各类护理任务标签，也支持快速调整标签的显示顺序。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患者分类与辅助交班</w:t>
            </w:r>
          </w:p>
        </w:tc>
        <w:tc>
          <w:tcPr>
            <w:tcW w:w="7627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根据患者的实际情况，对患者进行快速分类，方便护理人员快速定位某类患者，如特级护理患者、病危患者、病重患者、我的关注患者等，方便护理病区交班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81" w:after="81"/>
              <w:jc w:val="center"/>
              <w:rPr>
                <w:rFonts w:ascii="宋体" w:hAnsi="宋体"/>
              </w:rPr>
            </w:pPr>
            <w:r>
              <w:rPr>
                <w:rFonts w:ascii="宋体" w:hAnsi="宋体"/>
              </w:rPr>
              <w:t>患者生日</w:t>
            </w:r>
            <w:r>
              <w:rPr>
                <w:rFonts w:hint="eastAsia" w:ascii="宋体" w:hAnsi="宋体"/>
              </w:rPr>
              <w:t>展示及</w:t>
            </w:r>
            <w:r>
              <w:rPr>
                <w:rFonts w:ascii="宋体" w:hAnsi="宋体"/>
              </w:rPr>
              <w:t>提醒</w:t>
            </w:r>
          </w:p>
        </w:tc>
        <w:tc>
          <w:tcPr>
            <w:tcW w:w="7627" w:type="dxa"/>
            <w:vAlign w:val="center"/>
          </w:tcPr>
          <w:p>
            <w:pPr>
              <w:spacing w:before="81" w:after="81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实时智能展示并提醒住院患者近期生日情况，给予患者及时、个性化的祝福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ascii="Times" w:hAnsi="Times"/>
              </w:rPr>
              <w:t>入院周年</w:t>
            </w:r>
            <w:r>
              <w:rPr>
                <w:rFonts w:hint="eastAsia" w:ascii="Times" w:hAnsi="Times"/>
              </w:rPr>
              <w:t>纪念日展示及提醒</w:t>
            </w:r>
          </w:p>
        </w:tc>
        <w:tc>
          <w:tcPr>
            <w:tcW w:w="7627" w:type="dxa"/>
            <w:vAlign w:val="center"/>
          </w:tcPr>
          <w:p>
            <w:pPr>
              <w:spacing w:before="60" w:after="60"/>
              <w:rPr>
                <w:rFonts w:ascii="Times" w:hAnsi="Times"/>
              </w:rPr>
            </w:pPr>
            <w:r>
              <w:rPr>
                <w:rFonts w:hint="eastAsia"/>
              </w:rPr>
              <w:t>支持</w:t>
            </w:r>
            <w:r>
              <w:rPr>
                <w:rFonts w:hint="eastAsia" w:ascii="Times" w:hAnsi="Times"/>
              </w:rPr>
              <w:t>根据系统中的护理人员信息，</w:t>
            </w:r>
            <w:r>
              <w:rPr>
                <w:rFonts w:ascii="Times" w:hAnsi="Times"/>
              </w:rPr>
              <w:t>实时智能提醒</w:t>
            </w:r>
            <w:r>
              <w:rPr>
                <w:rFonts w:hint="eastAsia" w:ascii="Times" w:hAnsi="Times"/>
              </w:rPr>
              <w:t>护理</w:t>
            </w:r>
            <w:r>
              <w:rPr>
                <w:rFonts w:ascii="Times" w:hAnsi="Times"/>
              </w:rPr>
              <w:t>人员入院周年纪念日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vAlign w:val="center"/>
          </w:tcPr>
          <w:p>
            <w:pPr>
              <w:spacing w:before="60" w:after="60"/>
              <w:jc w:val="center"/>
              <w:rPr>
                <w:rFonts w:ascii="Times" w:hAnsi="Times"/>
              </w:rPr>
            </w:pPr>
            <w:r>
              <w:rPr>
                <w:rFonts w:hint="eastAsia" w:ascii="Times" w:hAnsi="Times"/>
              </w:rPr>
              <w:t>系统设置</w:t>
            </w:r>
          </w:p>
        </w:tc>
        <w:tc>
          <w:tcPr>
            <w:tcW w:w="7627" w:type="dxa"/>
            <w:vAlign w:val="center"/>
          </w:tcPr>
          <w:p>
            <w:pPr>
              <w:spacing w:before="60"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卡片大小显示设置：设置患者病区概览大小；</w:t>
            </w:r>
          </w:p>
          <w:p>
            <w:pPr>
              <w:spacing w:before="60"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护理等级样式设置：设置护理等级样式及颜色；</w:t>
            </w:r>
          </w:p>
          <w:p>
            <w:pPr>
              <w:spacing w:before="60" w:after="6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床位卡片排列：设置按床号排序或按入院时间；</w:t>
            </w:r>
          </w:p>
          <w:p>
            <w:pPr>
              <w:spacing w:before="60" w:after="60"/>
              <w:rPr>
                <w:rFonts w:ascii="Times" w:hAnsi="Times"/>
              </w:rPr>
            </w:pPr>
            <w:r>
              <w:rPr>
                <w:rFonts w:hint="eastAsia" w:ascii="宋体" w:hAnsi="宋体"/>
              </w:rPr>
              <w:t>隐私设置：设置患者姓名、患者性别等隐私信息特殊设置。</w:t>
            </w:r>
          </w:p>
        </w:tc>
      </w:tr>
    </w:tbl>
    <w:p>
      <w:pPr>
        <w:pStyle w:val="4"/>
        <w:numPr>
          <w:ilvl w:val="0"/>
          <w:numId w:val="2"/>
        </w:numPr>
        <w:spacing w:before="120" w:after="120" w:line="300" w:lineRule="auto"/>
        <w:ind w:left="0" w:firstLine="0"/>
        <w:rPr>
          <w:rFonts w:ascii="宋体" w:hAnsi="宋体" w:cs="宋体"/>
          <w:b w:val="0"/>
          <w:sz w:val="24"/>
          <w:szCs w:val="24"/>
        </w:rPr>
      </w:pPr>
      <w:r>
        <w:rPr>
          <w:rFonts w:ascii="宋体" w:hAnsi="宋体" w:cs="宋体"/>
          <w:b w:val="0"/>
          <w:sz w:val="24"/>
          <w:szCs w:val="24"/>
        </w:rPr>
        <w:t>互联互通四甲</w:t>
      </w:r>
      <w:r>
        <w:rPr>
          <w:rFonts w:hint="eastAsia" w:ascii="宋体" w:hAnsi="宋体" w:cs="宋体"/>
          <w:b w:val="0"/>
          <w:sz w:val="24"/>
          <w:szCs w:val="24"/>
          <w:lang w:eastAsia="zh-CN"/>
        </w:rPr>
        <w:t>、五乙</w:t>
      </w:r>
      <w:r>
        <w:rPr>
          <w:rFonts w:ascii="宋体" w:hAnsi="宋体" w:cs="宋体"/>
          <w:b w:val="0"/>
          <w:sz w:val="24"/>
          <w:szCs w:val="24"/>
        </w:rPr>
        <w:t>改造</w:t>
      </w:r>
    </w:p>
    <w:tbl>
      <w:tblPr>
        <w:tblW w:w="926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6"/>
        <w:gridCol w:w="7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1686" w:type="dxa"/>
            <w:shd w:val="clear" w:color="auto" w:fill="FFFFFF"/>
            <w:vAlign w:val="top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</w:rPr>
              <w:t>功能模块</w:t>
            </w:r>
          </w:p>
        </w:tc>
        <w:tc>
          <w:tcPr>
            <w:tcW w:w="7579" w:type="dxa"/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b/>
              </w:rPr>
              <w:t>功能要求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1686" w:type="dxa"/>
            <w:shd w:val="clear" w:color="auto" w:fill="FFFFFF"/>
            <w:vAlign w:val="center"/>
          </w:tcPr>
          <w:p>
            <w:pPr>
              <w:pStyle w:val="16"/>
              <w:widowControl/>
              <w:spacing w:line="30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护理记录单</w:t>
            </w:r>
          </w:p>
        </w:tc>
        <w:tc>
          <w:tcPr>
            <w:tcW w:w="7579" w:type="dxa"/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支持一般护理记录、病重（病危）护理记录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86" w:type="dxa"/>
            <w:shd w:val="clear" w:color="auto" w:fill="FFFFFF"/>
            <w:vAlign w:val="center"/>
          </w:tcPr>
          <w:p>
            <w:pPr>
              <w:pStyle w:val="16"/>
              <w:widowControl/>
              <w:spacing w:line="30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生命体征测量</w:t>
            </w:r>
          </w:p>
        </w:tc>
        <w:tc>
          <w:tcPr>
            <w:tcW w:w="7579" w:type="dxa"/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支持生命体征测量记录、出入量记录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686" w:type="dxa"/>
            <w:shd w:val="clear" w:color="auto" w:fill="FFFFFF"/>
            <w:vAlign w:val="center"/>
          </w:tcPr>
          <w:p>
            <w:pPr>
              <w:pStyle w:val="16"/>
              <w:widowControl/>
              <w:spacing w:line="30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出入院评估</w:t>
            </w:r>
          </w:p>
        </w:tc>
        <w:tc>
          <w:tcPr>
            <w:tcW w:w="7579" w:type="dxa"/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支持入院评估、出院评估与指导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1686" w:type="dxa"/>
            <w:shd w:val="clear" w:color="auto" w:fill="FFFFFF"/>
            <w:vAlign w:val="center"/>
          </w:tcPr>
          <w:p>
            <w:pPr>
              <w:pStyle w:val="16"/>
              <w:widowControl/>
              <w:spacing w:line="300" w:lineRule="auto"/>
              <w:ind w:firstLine="0" w:firstLineChars="0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护理计划</w:t>
            </w:r>
          </w:p>
        </w:tc>
        <w:tc>
          <w:tcPr>
            <w:tcW w:w="7579" w:type="dxa"/>
            <w:shd w:val="clear" w:color="auto" w:fill="FFFFFF"/>
            <w:vAlign w:val="center"/>
          </w:tcPr>
          <w:p>
            <w:pPr>
              <w:widowControl/>
              <w:spacing w:line="300" w:lineRule="auto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支持护理计划</w:t>
            </w:r>
          </w:p>
        </w:tc>
      </w:tr>
    </w:tbl>
    <w:p>
      <w:pPr>
        <w:pStyle w:val="4"/>
        <w:numPr>
          <w:ilvl w:val="0"/>
          <w:numId w:val="2"/>
        </w:numPr>
        <w:spacing w:before="120" w:after="120" w:line="300" w:lineRule="auto"/>
        <w:ind w:left="0" w:firstLine="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电子病历五级功能改造</w:t>
      </w:r>
    </w:p>
    <w:tbl>
      <w:tblPr>
        <w:tblW w:w="92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功能模块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ind w:firstLine="42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</w:t>
            </w:r>
            <w:r>
              <w:rPr>
                <w:b/>
                <w:color w:val="00000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病人管理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病人列表：支持通过床号背景颜色区分不同护理级别：特级护理以红色标记、一级护理以黄色标记、二级护理以绿色标记、三级护理以灰色标记。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评估管理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支持完成对新入患者进行的入院护理评估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医嘱管理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</w:t>
            </w:r>
            <w:r>
              <w:rPr>
                <w:color w:val="000000"/>
              </w:rPr>
              <w:t>医嘱查询</w:t>
            </w:r>
            <w:r>
              <w:rPr>
                <w:rFonts w:hint="eastAsia"/>
                <w:color w:val="000000"/>
              </w:rPr>
              <w:t>、医嘱执行闭环、标本采集闭环、输血管理闭环、全科临时医嘱、全科长期医嘱、医嘱执行查询、医嘱执行结果回写、医嘱变更信息提醒等功能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记录管理</w:t>
            </w:r>
          </w:p>
        </w:tc>
        <w:tc>
          <w:tcPr>
            <w:tcW w:w="7614" w:type="dxa"/>
            <w:vAlign w:val="top"/>
          </w:tcPr>
          <w:p>
            <w:pPr>
              <w:adjustRightInd w:val="0"/>
              <w:snapToGrid w:val="0"/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支持一般护理记录单以及危重病人护理记录单功能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护理计划</w:t>
            </w:r>
          </w:p>
        </w:tc>
        <w:tc>
          <w:tcPr>
            <w:tcW w:w="7614" w:type="dxa"/>
            <w:vAlign w:val="top"/>
          </w:tcPr>
          <w:p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支持护理问题、相关因素、预期目标、达成时间、护理措施、新增护理问题、护理评价、护理记录以及护理计划打印等功能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报告查看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支持病人检查、检验结果查询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系统交互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支持数据通过院内信息平台实现统一管理，可通过一体化视图集中展现供其他各信息系统调用</w:t>
            </w:r>
          </w:p>
        </w:tc>
      </w:tr>
    </w:tbl>
    <w:p>
      <w:pPr>
        <w:pStyle w:val="4"/>
        <w:numPr>
          <w:ilvl w:val="0"/>
          <w:numId w:val="2"/>
        </w:numPr>
        <w:spacing w:before="120" w:after="120" w:line="300" w:lineRule="auto"/>
        <w:ind w:left="0" w:firstLine="0"/>
        <w:rPr>
          <w:rFonts w:ascii="宋体" w:hAnsi="宋体" w:cs="宋体"/>
          <w:b w:val="0"/>
          <w:sz w:val="24"/>
          <w:szCs w:val="24"/>
        </w:rPr>
      </w:pPr>
      <w:r>
        <w:rPr>
          <w:rFonts w:hint="eastAsia" w:ascii="宋体" w:hAnsi="宋体" w:cs="宋体"/>
          <w:b w:val="0"/>
          <w:sz w:val="24"/>
          <w:szCs w:val="24"/>
        </w:rPr>
        <w:t>电子病历六级功能改造</w:t>
      </w:r>
    </w:p>
    <w:tbl>
      <w:tblPr>
        <w:tblW w:w="928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76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功能模块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ind w:firstLine="422"/>
              <w:jc w:val="center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功能</w:t>
            </w:r>
            <w:r>
              <w:rPr>
                <w:b/>
                <w:color w:val="000000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病人管理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病人列表：支持通过床号背景颜色区分不同护理级别：特级护理以红色标记、一级护理以黄色标记、二级护理以绿色标记、三级护理以灰色标记。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评估管理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支持入院评估、MEWS评分、VTE评分功能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医嘱管理</w:t>
            </w:r>
          </w:p>
        </w:tc>
        <w:tc>
          <w:tcPr>
            <w:tcW w:w="7614" w:type="dxa"/>
            <w:vAlign w:val="center"/>
          </w:tcPr>
          <w:p>
            <w:pPr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</w:t>
            </w:r>
            <w:r>
              <w:rPr>
                <w:color w:val="000000"/>
              </w:rPr>
              <w:t>医嘱查询</w:t>
            </w:r>
            <w:r>
              <w:rPr>
                <w:rFonts w:hint="eastAsia"/>
                <w:color w:val="000000"/>
              </w:rPr>
              <w:t>、医嘱执行、全科临时医嘱、全科长期医嘱、医嘱执行记录查询、医嘱执行结果回写、医嘱变更信息提醒、高风险医嘱执行等功能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闭环管理</w:t>
            </w:r>
          </w:p>
        </w:tc>
        <w:tc>
          <w:tcPr>
            <w:tcW w:w="7614" w:type="dxa"/>
            <w:vAlign w:val="center"/>
          </w:tcPr>
          <w:p>
            <w:pPr>
              <w:adjustRightInd w:val="0"/>
              <w:snapToGrid w:val="0"/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支持输液医嘱闭环、口服药医嘱闭环、输血备血闭环、皮试医嘱闭环、护理医嘱执行闭环、标本采集闭环等闭环管理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记录管理</w:t>
            </w:r>
          </w:p>
        </w:tc>
        <w:tc>
          <w:tcPr>
            <w:tcW w:w="7614" w:type="dxa"/>
            <w:vAlign w:val="top"/>
          </w:tcPr>
          <w:p>
            <w:pPr>
              <w:adjustRightInd w:val="0"/>
              <w:snapToGrid w:val="0"/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支持一般护理记录单以及危重病人护理记录单功能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hint="eastAsia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护理计划</w:t>
            </w:r>
          </w:p>
        </w:tc>
        <w:tc>
          <w:tcPr>
            <w:tcW w:w="7614" w:type="dxa"/>
            <w:vAlign w:val="top"/>
          </w:tcPr>
          <w:p>
            <w:pPr>
              <w:adjustRightInd w:val="0"/>
              <w:snapToGrid w:val="0"/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支持护理问题、相关因素、预期目标、达成时间、护理措施、新增护理问题、护理评价、护理记录以及护理计划打印等功能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智能联动护理计划</w:t>
            </w:r>
          </w:p>
        </w:tc>
        <w:tc>
          <w:tcPr>
            <w:tcW w:w="7614" w:type="dxa"/>
            <w:vAlign w:val="center"/>
          </w:tcPr>
          <w:p>
            <w:pPr>
              <w:spacing w:before="81" w:after="81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支持在体温过高、压疮高危、跌倒高危、自理能力高危等状态下，系统联动提示，并进入护理计划，根据提示完成相关因素、预期目标、达成时间、护理措施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报告查看</w:t>
            </w:r>
          </w:p>
        </w:tc>
        <w:tc>
          <w:tcPr>
            <w:tcW w:w="7614" w:type="dxa"/>
            <w:vAlign w:val="center"/>
          </w:tcPr>
          <w:p>
            <w:pPr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支持病人检查、检验结果查询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Align w:val="center"/>
          </w:tcPr>
          <w:p>
            <w:pPr>
              <w:adjustRightInd w:val="0"/>
              <w:snapToGrid w:val="0"/>
              <w:spacing w:before="81" w:after="81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系统交互</w:t>
            </w:r>
          </w:p>
        </w:tc>
        <w:tc>
          <w:tcPr>
            <w:tcW w:w="7614" w:type="dxa"/>
            <w:vAlign w:val="center"/>
          </w:tcPr>
          <w:p>
            <w:pPr>
              <w:spacing w:before="81" w:after="81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支持数据通过院内信息平台实现统一管理，可通过一体化视图集中展现供其他各信息系统调用；</w:t>
            </w:r>
          </w:p>
        </w:tc>
      </w:tr>
    </w:tbl>
    <w:p>
      <w:pPr>
        <w:rPr>
          <w:rFonts w:hint="eastAsia"/>
          <w:shd w:val="clear" w:color="auto" w:fill="FFFFFF"/>
        </w:rPr>
      </w:pPr>
    </w:p>
    <w:p>
      <w:pPr>
        <w:rPr>
          <w:sz w:val="24"/>
        </w:rPr>
      </w:pPr>
      <w:r>
        <w:rPr>
          <w:rFonts w:hint="eastAsia"/>
          <w:sz w:val="24"/>
        </w:rPr>
        <w:t>其他要求：</w:t>
      </w:r>
    </w:p>
    <w:p>
      <w:pPr>
        <w:rPr>
          <w:sz w:val="24"/>
        </w:rPr>
      </w:pPr>
      <w:r>
        <w:rPr>
          <w:rFonts w:hint="eastAsia"/>
          <w:sz w:val="24"/>
        </w:rPr>
        <w:t>1.根据国家《医院信息系统功能规范》第十二条以及国家信息化建设审计要求，必须提供完整的总体设计报告、需求分析说明书、概要设计说明书、详细设计说明书、数据字典、数据结构与流程、测试报告、操作使用手册、系统维护手册。至少必须提供数据字典、数据结构与流程、操作使用手册、系统维护手册。</w:t>
      </w:r>
    </w:p>
    <w:p>
      <w:pPr>
        <w:rPr>
          <w:sz w:val="24"/>
        </w:rPr>
      </w:pPr>
      <w:r>
        <w:rPr>
          <w:rFonts w:hint="eastAsia"/>
          <w:sz w:val="24"/>
        </w:rPr>
        <w:t>2.数据具备各数据表基础数据项的完整性，诸如：数据的创建人、创建时间、最后修改人、最后修改时间等；具备应用系统数据修改痕迹管理，各项核心业务的数据修改必须以日志形式保存，数据修改日志至少必须有“数据基础信息”、“修改前数据”、“修改后数据”、“修改人”、“修改时间”五个部分核心数据项组成；具备应用系统可以手动设置本地日志的保存目录，并自动必须定期清除。</w:t>
      </w:r>
    </w:p>
    <w:p>
      <w:pPr>
        <w:rPr>
          <w:sz w:val="24"/>
        </w:rPr>
      </w:pPr>
      <w:r>
        <w:rPr>
          <w:rFonts w:hint="eastAsia"/>
          <w:sz w:val="24"/>
        </w:rPr>
        <w:t>3.应结合我院实际医疗及管理需要，对系统进行客户化修改。</w:t>
      </w:r>
    </w:p>
    <w:p>
      <w:pPr>
        <w:rPr>
          <w:sz w:val="24"/>
        </w:rPr>
      </w:pPr>
      <w:r>
        <w:rPr>
          <w:rFonts w:hint="eastAsia"/>
          <w:sz w:val="24"/>
        </w:rPr>
        <w:t>4.系统应提供与医院HIS，电子病历、危机值平台、麻醉耗材、患者360（含HIS360、CDR360）等系统无缝集成接口，符合电子病历6级、医院的互联互通5级、智慧医院4级的建设要求，上述各评级不涉及本系统的功能可以按本次招标内容为准。</w:t>
      </w:r>
    </w:p>
    <w:p>
      <w:pPr>
        <w:rPr>
          <w:sz w:val="24"/>
        </w:rPr>
      </w:pPr>
      <w:r>
        <w:rPr>
          <w:rFonts w:hint="eastAsia"/>
          <w:sz w:val="24"/>
        </w:rPr>
        <w:t>5.具备与集成平台通过统一的数据接口，实现浏览各检查报告具备通过系统集成平台按照国家、院内、院级数据集标准进行数据交换。具备多模式下数据交换接口的切换管理，诸如：集成平台出现故障时，可切换成应用系统服务接口模式或数据表模式，集成平台恢复时，可重新切换成集成平台。</w:t>
      </w:r>
    </w:p>
    <w:p>
      <w:pPr>
        <w:rPr>
          <w:sz w:val="24"/>
        </w:rPr>
      </w:pPr>
      <w:r>
        <w:rPr>
          <w:rFonts w:hint="eastAsia"/>
          <w:sz w:val="24"/>
        </w:rPr>
        <w:t>6.三年内免费实施政策性国家、省市各平台的数据接口、数据上传等，包括但不限于：福建省卫健委居民健康综合服务平台、福建省检查检验结果互联互通互认平台、福建省卫健委多码融合项目等。产生相应指标，推送至医疗平台接口中（涉及其他系统，应与其他系统配合实施）。</w:t>
      </w:r>
    </w:p>
    <w:p>
      <w:pPr>
        <w:rPr>
          <w:sz w:val="24"/>
        </w:rPr>
      </w:pPr>
      <w:r>
        <w:rPr>
          <w:rFonts w:hint="eastAsia"/>
          <w:sz w:val="24"/>
        </w:rPr>
        <w:t>7.系统需符合《信息安全技术网络安全等级保护基本要求》GB/T22239-2019（三级）要求（下文简称：三级等保2.0），并在三级等保2.0评审中协助完成本系统评审工作。</w:t>
      </w:r>
    </w:p>
    <w:p>
      <w:pPr>
        <w:rPr>
          <w:sz w:val="24"/>
        </w:rPr>
      </w:pPr>
      <w:r>
        <w:rPr>
          <w:rFonts w:hint="eastAsia"/>
          <w:sz w:val="24"/>
        </w:rPr>
        <w:t>8.与医院现有CA数字签名功能实现对接，满足医院各法规需要。</w:t>
      </w:r>
    </w:p>
    <w:p>
      <w:pPr>
        <w:rPr>
          <w:sz w:val="24"/>
        </w:rPr>
      </w:pPr>
      <w:r>
        <w:rPr>
          <w:rFonts w:hint="eastAsia"/>
          <w:sz w:val="24"/>
        </w:rPr>
        <w:t>9.若有APP功能，应提供H5接口，并支付相应接口费用（不超过3万元）。</w:t>
      </w:r>
    </w:p>
    <w:p>
      <w:pPr>
        <w:rPr>
          <w:sz w:val="24"/>
        </w:rPr>
      </w:pPr>
      <w:r>
        <w:rPr>
          <w:rFonts w:hint="eastAsia"/>
          <w:sz w:val="24"/>
        </w:rPr>
        <w:t>10.本项目涉及院内现有各业务系统接口的，招标人不再向中标人支付接口费用。</w:t>
      </w:r>
    </w:p>
    <w:p>
      <w:pPr>
        <w:rPr>
          <w:sz w:val="24"/>
        </w:rPr>
      </w:pPr>
      <w:r>
        <w:rPr>
          <w:rFonts w:hint="eastAsia"/>
          <w:sz w:val="24"/>
        </w:rPr>
        <w:t>11.中标人不承担由第三方接口产生的费用。（不包含9内容）</w:t>
      </w:r>
    </w:p>
    <w:p>
      <w:pPr>
        <w:rPr>
          <w:sz w:val="24"/>
        </w:rPr>
      </w:pPr>
      <w:r>
        <w:rPr>
          <w:rFonts w:hint="eastAsia"/>
          <w:sz w:val="24"/>
        </w:rPr>
        <w:t>12.在本项目软件使用及维保有效期内，本项目软件在每个使用科室使用的终端数量不受限制，数据不得加密，不得使用加密狗、打印加密、功能加密等任何软件使用约束。</w:t>
      </w:r>
    </w:p>
    <w:p>
      <w:pPr>
        <w:rPr>
          <w:sz w:val="24"/>
        </w:rPr>
      </w:pPr>
      <w:r>
        <w:rPr>
          <w:rFonts w:hint="eastAsia"/>
          <w:sz w:val="24"/>
        </w:rPr>
        <w:t>13.软件部分按总价进行报价，不能以安装工作站数量进行报价。</w:t>
      </w:r>
    </w:p>
    <w:p>
      <w:pPr>
        <w:rPr>
          <w:sz w:val="24"/>
        </w:rPr>
      </w:pPr>
      <w:r>
        <w:rPr>
          <w:rFonts w:hint="eastAsia"/>
          <w:sz w:val="24"/>
        </w:rPr>
        <w:t>14.现有系统需完成旧系统中的历史数据导入，旧系统中非自动产生的数据（如手工输入值等），在新系统中可不体现或以默认值体现。若有涉及接口费用，由中标方负责，招标方不再向中标人支付接口费用。</w:t>
      </w:r>
    </w:p>
    <w:p>
      <w:pPr>
        <w:rPr>
          <w:sz w:val="24"/>
        </w:rPr>
      </w:pPr>
      <w:r>
        <w:rPr>
          <w:rFonts w:hint="eastAsia"/>
          <w:sz w:val="24"/>
        </w:rPr>
        <w:t>15.软件版面色彩、风格等应按医院要求设计制作；软件标题只能出现医院logo及系统名称，不能出现公司名称，公司名称允许在帮助（help）的关于（about）中出现。具体版面另行通知。</w:t>
      </w:r>
    </w:p>
    <w:p>
      <w:pPr>
        <w:rPr>
          <w:sz w:val="24"/>
        </w:rPr>
      </w:pPr>
      <w:r>
        <w:rPr>
          <w:rFonts w:hint="eastAsia"/>
          <w:sz w:val="24"/>
        </w:rPr>
        <w:t>16、系统安装调试并经验收合格后，应对采购方的相关人员提供关于系统应用时技术和操作方面的培训。相关培训费用应包含在投标总价中。</w:t>
      </w:r>
      <w:r>
        <w:rPr>
          <w:sz w:val="24"/>
        </w:rPr>
        <w:cr/>
      </w:r>
    </w:p>
    <w:p>
      <w:pPr>
        <w:widowControl/>
        <w:jc w:val="left"/>
      </w:pPr>
      <w:r>
        <w:br w:type="page"/>
      </w:r>
    </w:p>
    <w:p/>
    <w:p>
      <w:pPr>
        <w:keepNext/>
        <w:widowControl/>
        <w:shd w:val="clear" w:color="auto" w:fill="FFFFFF"/>
        <w:autoSpaceDE w:val="0"/>
        <w:spacing w:before="120" w:after="120"/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</w:rPr>
        <w:t>三、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本次调研说明</w:t>
      </w:r>
    </w:p>
    <w:p>
      <w:pPr>
        <w:spacing w:line="590" w:lineRule="exact"/>
        <w:ind w:firstLine="562" w:firstLineChars="2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欢迎有意向的供应商参与本次调研。</w:t>
      </w:r>
    </w:p>
    <w:p>
      <w:pPr>
        <w:numPr>
          <w:ilvl w:val="0"/>
          <w:numId w:val="3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本调研会的报价仅做为本项目公开招标的预算限价；</w:t>
      </w:r>
    </w:p>
    <w:p>
      <w:pPr>
        <w:numPr>
          <w:ilvl w:val="0"/>
          <w:numId w:val="3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本调研会不做参与投标的限制条件；</w:t>
      </w:r>
    </w:p>
    <w:p>
      <w:pPr>
        <w:numPr>
          <w:ilvl w:val="0"/>
          <w:numId w:val="3"/>
        </w:numPr>
        <w:spacing w:line="59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上述各参数将做为本项目招标的主要参数，不代表本项目公开招标的最终参数；</w:t>
      </w:r>
    </w:p>
    <w:p>
      <w:pPr>
        <w:numPr>
          <w:ilvl w:val="0"/>
          <w:numId w:val="3"/>
        </w:numPr>
        <w:spacing w:line="59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参加调研会的公司应准备PPT材料（含方案介绍、服务及集成能力、应用案例、报价等）、技术参数等材料，每公司讲解时间30分钟（含答疑10分钟）；同时上述材料须交予院方留档（可提供U盘留档）。</w:t>
      </w:r>
    </w:p>
    <w:p>
      <w:pPr>
        <w:widowControl/>
        <w:shd w:val="clear" w:color="auto" w:fill="FFFFFF"/>
        <w:spacing w:line="336" w:lineRule="auto"/>
        <w:jc w:val="center"/>
        <w:rPr>
          <w:rFonts w:ascii="宋体" w:hAnsi="宋体" w:cs="宋体"/>
          <w:b/>
          <w:bCs/>
          <w:color w:val="000000"/>
          <w:sz w:val="28"/>
          <w:szCs w:val="28"/>
          <w:shd w:val="clear" w:color="auto" w:fill="FFFFFF"/>
        </w:rPr>
        <w:sectPr>
          <w:footerReference r:id="rId4" w:type="default"/>
          <w:pgSz w:w="12240" w:h="15840"/>
          <w:pgMar w:top="1134" w:right="1587" w:bottom="1134" w:left="1587" w:header="720" w:footer="720" w:gutter="0"/>
          <w:cols w:space="720" w:num="1"/>
          <w:docGrid w:type="lines" w:linePitch="316" w:charSpace="0"/>
        </w:sectPr>
      </w:pPr>
    </w:p>
    <w:p>
      <w:pPr>
        <w:widowControl/>
        <w:shd w:val="clear" w:color="auto" w:fill="FFFFFF"/>
        <w:spacing w:line="336" w:lineRule="auto"/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shd w:val="clear" w:color="auto" w:fill="FFFFFF"/>
        </w:rPr>
        <w:t>项目文件回执单</w:t>
      </w:r>
    </w:p>
    <w:p>
      <w:pPr>
        <w:widowControl/>
        <w:shd w:val="clear" w:color="auto" w:fill="FFFFFF"/>
        <w:spacing w:line="336" w:lineRule="auto"/>
        <w:ind w:left="420" w:firstLine="42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请有意参与的各公司在项目公示期内将回执单送到“福建省肿瘤医院网络办”。</w:t>
      </w:r>
    </w:p>
    <w:tbl>
      <w:tblPr>
        <w:tblW w:w="8519" w:type="dxa"/>
        <w:jc w:val="center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6"/>
        <w:gridCol w:w="3139"/>
        <w:gridCol w:w="2022"/>
        <w:gridCol w:w="2022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13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公司名称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产品名称</w:t>
            </w:r>
          </w:p>
        </w:tc>
        <w:tc>
          <w:tcPr>
            <w:tcW w:w="20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报价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4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7" w:hRule="atLeast"/>
          <w:jc w:val="center"/>
        </w:trPr>
        <w:tc>
          <w:tcPr>
            <w:tcW w:w="133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5</w:t>
            </w:r>
          </w:p>
        </w:tc>
        <w:tc>
          <w:tcPr>
            <w:tcW w:w="31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spacing w:line="336" w:lineRule="auto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 </w:t>
            </w:r>
          </w:p>
        </w:tc>
      </w:tr>
    </w:tbl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公司名称：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联系人：　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联系电话：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邮箱号：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u w:val="single"/>
          <w:shd w:val="clear" w:color="auto" w:fill="FFFFFF"/>
        </w:rPr>
        <w:t>　　　　　　　　　　　　　　 </w:t>
      </w:r>
    </w:p>
    <w:p>
      <w:pPr>
        <w:widowControl/>
        <w:shd w:val="clear" w:color="auto" w:fill="FFFFFF"/>
        <w:spacing w:line="336" w:lineRule="auto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公司盖章：</w:t>
      </w:r>
    </w:p>
    <w:p>
      <w:pPr>
        <w:widowControl/>
        <w:shd w:val="clear" w:color="auto" w:fill="FFFFFF"/>
        <w:spacing w:line="336" w:lineRule="auto"/>
        <w:jc w:val="center"/>
        <w:rPr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 </w:t>
      </w:r>
    </w:p>
    <w:p>
      <w:pPr>
        <w:spacing w:line="59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　　　　　　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　　　　　　 202</w:t>
      </w:r>
      <w:r>
        <w:rPr>
          <w:rFonts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2</w:t>
      </w:r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shd w:val="clear" w:color="auto" w:fill="FFFFFF"/>
        </w:rPr>
        <w:t>年　月　日　</w:t>
      </w:r>
      <w:r>
        <w:rPr>
          <w:rFonts w:hint="eastAsia" w:ascii="宋体" w:hAnsi="宋体" w:cs="宋体"/>
          <w:b/>
          <w:color w:val="000000"/>
          <w:kern w:val="0"/>
          <w:sz w:val="28"/>
          <w:szCs w:val="28"/>
          <w:shd w:val="clear" w:color="auto" w:fill="FFFFFF"/>
        </w:rPr>
        <w:t>　</w:t>
      </w:r>
    </w:p>
    <w:sectPr>
      <w:pgSz w:w="12240" w:h="15840"/>
      <w:pgMar w:top="1134" w:right="1587" w:bottom="1134" w:left="1587" w:header="720" w:footer="720" w:gutter="0"/>
      <w:cols w:space="72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8"/>
    </w:pPr>
    <w:r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  <w:pict>
        <v:rect id="Quad Arrow 1025" o:spid="_x0000_s1025" style="position:absolute;left:0;margin-top:0pt;height:12.8pt;width:5.35pt;mso-position-horizontal:center;mso-position-horizontal-relative:margin;mso-wrap-style:none;rotation:0f;z-index:251658240;" o:ole="f" fillcolor="#FFFFFF" filled="f" o:preferrelative="t" stroked="f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t>12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0315940">
    <w:nsid w:val="364251A4"/>
    <w:multiLevelType w:val="multilevel"/>
    <w:tmpl w:val="364251A4"/>
    <w:lvl w:ilvl="0" w:tentative="1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23815692">
    <w:nsid w:val="60C9760C"/>
    <w:multiLevelType w:val="singleLevel"/>
    <w:tmpl w:val="60C9760C"/>
    <w:lvl w:ilvl="0" w:tentative="1">
      <w:start w:val="1"/>
      <w:numFmt w:val="decimal"/>
      <w:suff w:val="nothing"/>
      <w:lvlText w:val="%1、"/>
      <w:lvlJc w:val="left"/>
    </w:lvl>
  </w:abstractNum>
  <w:abstractNum w:abstractNumId="2455590503">
    <w:nsid w:val="925D5667"/>
    <w:multiLevelType w:val="singleLevel"/>
    <w:tmpl w:val="925D5667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455590503"/>
  </w:num>
  <w:num w:numId="2">
    <w:abstractNumId w:val="910315940"/>
  </w:num>
  <w:num w:numId="3">
    <w:abstractNumId w:val="162381569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"/>
  <w:drawingGridHorizontalSpacing w:val="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OTA1MjYxZjlhMjNmZTYxODk3ZDM3Zjc4MjhjMjI2MjgifQ=="/>
  </w:docVar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qFormat="1" w:uiPriority="99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qFormat="1" w:uiPriority="99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0"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paragraph" w:styleId="5">
    <w:name w:val="Body Text First Indent"/>
    <w:basedOn w:val="6"/>
    <w:unhideWhenUsed/>
    <w:qFormat/>
    <w:uiPriority w:val="99"/>
    <w:pPr>
      <w:ind w:firstLine="420" w:firstLineChars="100"/>
    </w:pPr>
  </w:style>
  <w:style w:type="paragraph" w:styleId="6">
    <w:name w:val="Body Text"/>
    <w:basedOn w:val="1"/>
    <w:semiHidden/>
    <w:unhideWhenUsed/>
    <w:qFormat/>
    <w:uiPriority w:val="99"/>
    <w:pPr>
      <w:spacing w:after="120"/>
    </w:pPr>
  </w:style>
  <w:style w:type="paragraph" w:styleId="7">
    <w:name w:val="Normal Indent"/>
    <w:basedOn w:val="1"/>
    <w:link w:val="21"/>
    <w:qFormat/>
    <w:uiPriority w:val="0"/>
    <w:pPr>
      <w:ind w:firstLine="420" w:firstLineChars="200"/>
    </w:pPr>
  </w:style>
  <w:style w:type="paragraph" w:styleId="8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line="336" w:lineRule="auto"/>
      <w:jc w:val="left"/>
    </w:pPr>
    <w:rPr>
      <w:rFonts w:ascii="宋体" w:hAnsi="宋体"/>
      <w:kern w:val="0"/>
      <w:sz w:val="24"/>
    </w:rPr>
  </w:style>
  <w:style w:type="paragraph" w:styleId="11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libri Light" w:hAnsi="Calibri Light" w:cs="宋体"/>
      <w:b/>
      <w:bCs/>
      <w:sz w:val="32"/>
      <w:szCs w:val="32"/>
    </w:rPr>
  </w:style>
  <w:style w:type="character" w:styleId="13">
    <w:name w:val="Strong"/>
    <w:qFormat/>
    <w:uiPriority w:val="0"/>
    <w:rPr>
      <w:b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列表段落1"/>
    <w:basedOn w:val="1"/>
    <w:link w:val="19"/>
    <w:qFormat/>
    <w:uiPriority w:val="34"/>
    <w:pPr>
      <w:widowControl/>
      <w:spacing w:before="100" w:beforeAutospacing="1" w:after="100" w:afterAutospacing="1" w:line="360" w:lineRule="auto"/>
      <w:ind w:firstLine="420" w:firstLineChars="200"/>
      <w:jc w:val="left"/>
    </w:pPr>
    <w:rPr>
      <w:szCs w:val="22"/>
    </w:rPr>
  </w:style>
  <w:style w:type="paragraph" w:customStyle="1" w:styleId="16">
    <w:name w:val="List Paragraph"/>
    <w:basedOn w:val="1"/>
    <w:qFormat/>
    <w:uiPriority w:val="34"/>
    <w:pPr>
      <w:ind w:firstLine="420" w:firstLineChars="200"/>
    </w:pPr>
    <w:rPr>
      <w:szCs w:val="22"/>
    </w:rPr>
  </w:style>
  <w:style w:type="character" w:customStyle="1" w:styleId="17">
    <w:name w:val="页眉 字符"/>
    <w:link w:val="9"/>
    <w:qFormat/>
    <w:uiPriority w:val="0"/>
    <w:rPr>
      <w:rFonts w:ascii="Calibri" w:hAnsi="Calibri" w:eastAsia="宋体"/>
      <w:kern w:val="2"/>
      <w:sz w:val="18"/>
      <w:szCs w:val="18"/>
    </w:rPr>
  </w:style>
  <w:style w:type="character" w:customStyle="1" w:styleId="18">
    <w:name w:val="页脚 字符"/>
    <w:link w:val="8"/>
    <w:qFormat/>
    <w:uiPriority w:val="99"/>
    <w:rPr>
      <w:rFonts w:ascii="Calibri" w:hAnsi="Calibri" w:eastAsia="宋体"/>
      <w:kern w:val="2"/>
      <w:sz w:val="18"/>
      <w:szCs w:val="18"/>
    </w:rPr>
  </w:style>
  <w:style w:type="character" w:customStyle="1" w:styleId="19">
    <w:name w:val="列表段落 字符"/>
    <w:link w:val="15"/>
    <w:qFormat/>
    <w:uiPriority w:val="34"/>
    <w:rPr>
      <w:rFonts w:ascii="Calibri" w:hAnsi="Calibri" w:eastAsia="宋体"/>
      <w:kern w:val="2"/>
      <w:sz w:val="21"/>
      <w:szCs w:val="22"/>
    </w:rPr>
  </w:style>
  <w:style w:type="character" w:customStyle="1" w:styleId="20">
    <w:name w:val="标题 2 字符"/>
    <w:link w:val="3"/>
    <w:qFormat/>
    <w:uiPriority w:val="0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21">
    <w:name w:val="正文缩进 字符"/>
    <w:link w:val="7"/>
    <w:qFormat/>
    <w:uiPriority w:val="0"/>
    <w:rPr>
      <w:rFonts w:cs="Times New Roman"/>
      <w:kern w:val="2"/>
      <w:sz w:val="21"/>
      <w:szCs w:val="24"/>
    </w:rPr>
  </w:style>
  <w:style w:type="character" w:customStyle="1" w:styleId="22">
    <w:name w:val="列出段落 Char"/>
    <w:qFormat/>
    <w:uiPriority w:val="34"/>
    <w:rPr>
      <w:rFonts w:cs="宋体"/>
      <w:kern w:val="2"/>
      <w:sz w:val="21"/>
      <w:szCs w:val="22"/>
    </w:rPr>
  </w:style>
  <w:style w:type="character" w:customStyle="1" w:styleId="23">
    <w:name w:val="标题 3 字符"/>
    <w:link w:val="4"/>
    <w:semiHidden/>
    <w:uiPriority w:val="0"/>
    <w:rPr>
      <w:rFonts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footer" Target="footer1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5353</Words>
  <Characters>5498</Characters>
  <Lines>42</Lines>
  <Paragraphs>11</Paragraphs>
  <TotalTime>0</TotalTime>
  <ScaleCrop>false</ScaleCrop>
  <LinksUpToDate>false</LinksUpToDate>
  <CharactersWithSpaces>0</CharactersWithSpaces>
  <Application>WPS Office 专业版_8.1.0.0_{F1E327BC-269C-435d-A152-05C5408002CA}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2022-10-19T03:21:00Z</dcterms:created>
  <dc:creator>air</dc:creator>
  <cp:lastModifiedBy>Administrator</cp:lastModifiedBy>
  <cp:lastPrinted>2021-06-16T01:18:00Z</cp:lastPrinted>
  <dcterms:modified xsi:type="dcterms:W3CDTF">2022-10-19T06:22:11Z</dcterms:modified>
  <dc:title>关于网络及安全设备的采购、更新报告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2052-8.1.0.0</vt:lpwstr>
  </property>
  <property fmtid="{D5CDD505-2E9C-101B-9397-08002B2CF9AE}" pid="3" name="ICV">
    <vt:lpwstr>1CD643B292444E9288869E45710021F0</vt:lpwstr>
  </property>
</Properties>
</file>