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DC" w:rsidRDefault="00E41548">
      <w:pPr>
        <w:widowControl/>
        <w:shd w:val="clear" w:color="auto" w:fill="FFFFFF"/>
        <w:spacing w:line="420" w:lineRule="atLeast"/>
        <w:jc w:val="center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医院户外</w:t>
      </w:r>
      <w:r w:rsidR="00C335D1"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LED</w:t>
      </w:r>
      <w:r>
        <w:rPr>
          <w:rFonts w:ascii="宋体" w:eastAsia="宋体" w:hAnsi="宋体" w:cs="宋体" w:hint="eastAsia"/>
          <w:b/>
          <w:bCs/>
          <w:kern w:val="36"/>
          <w:sz w:val="36"/>
          <w:szCs w:val="36"/>
        </w:rPr>
        <w:t>屏项目预算价调研公示</w:t>
      </w:r>
    </w:p>
    <w:p w:rsidR="004D4FDC" w:rsidRDefault="00E41548">
      <w:pPr>
        <w:widowControl/>
        <w:shd w:val="clear" w:color="auto" w:fill="FFFFFF"/>
        <w:spacing w:line="420" w:lineRule="atLeas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36"/>
          <w:szCs w:val="36"/>
          <w:shd w:val="clear" w:color="auto" w:fill="FFFFFF"/>
        </w:rPr>
        <w:t xml:space="preserve">　　　　　　　　　 </w:t>
      </w:r>
    </w:p>
    <w:p w:rsidR="004D4FDC" w:rsidRDefault="00E41548">
      <w:pPr>
        <w:widowControl/>
        <w:shd w:val="clear" w:color="auto" w:fill="FFFFFF"/>
        <w:spacing w:line="420" w:lineRule="atLeast"/>
        <w:jc w:val="center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shd w:val="clear" w:color="auto" w:fill="FFFFFF"/>
        </w:rPr>
        <w:t>第一部分 须知前附表</w:t>
      </w:r>
    </w:p>
    <w:p w:rsidR="004D4FDC" w:rsidRDefault="00E41548">
      <w:pPr>
        <w:widowControl/>
        <w:shd w:val="clear" w:color="auto" w:fill="FFFFFF"/>
        <w:spacing w:line="420" w:lineRule="atLeas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7781"/>
      </w:tblGrid>
      <w:tr w:rsidR="004D4FDC">
        <w:trPr>
          <w:trHeight w:val="549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60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主　　</w:t>
            </w:r>
            <w:proofErr w:type="gramStart"/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要　　</w:t>
            </w:r>
            <w:proofErr w:type="gramStart"/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 内　　</w:t>
            </w:r>
            <w:proofErr w:type="gramStart"/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proofErr w:type="gramEnd"/>
            <w:r>
              <w:rPr>
                <w:rFonts w:ascii="宋体" w:eastAsia="宋体" w:hAnsi="宋体" w:cs="Calibri" w:hint="eastAsia"/>
                <w:b/>
                <w:bCs/>
                <w:color w:val="000000"/>
                <w:kern w:val="0"/>
                <w:sz w:val="28"/>
                <w:szCs w:val="28"/>
              </w:rPr>
              <w:t> 容</w:t>
            </w:r>
          </w:p>
        </w:tc>
      </w:tr>
      <w:tr w:rsidR="004D4FDC">
        <w:trPr>
          <w:trHeight w:val="215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文件发出时间： 202</w:t>
            </w:r>
            <w:r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年 </w:t>
            </w:r>
            <w:r w:rsidR="00D54E5E"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 月9日</w:t>
            </w:r>
            <w:r w:rsidR="00D54E5E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上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午</w:t>
            </w:r>
            <w:r w:rsidR="00D54E5E"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9点 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北京时间</w:t>
            </w:r>
          </w:p>
          <w:p w:rsidR="004D4FDC" w:rsidRDefault="00E41548">
            <w:pPr>
              <w:widowControl/>
              <w:spacing w:line="315" w:lineRule="atLeast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文件回执截止时间：202</w:t>
            </w:r>
            <w:r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年 </w:t>
            </w:r>
            <w:r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="00B6772C"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1</w:t>
            </w:r>
            <w:r w:rsidR="007C0B44"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日下午17点北京时间</w:t>
            </w:r>
          </w:p>
          <w:p w:rsidR="004D4FDC" w:rsidRDefault="00E41548">
            <w:pPr>
              <w:widowControl/>
              <w:spacing w:line="315" w:lineRule="atLeast"/>
              <w:rPr>
                <w:rFonts w:ascii="宋体" w:eastAsia="宋体" w:hAnsi="宋体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调研时间：具体调研会时间另行通知</w:t>
            </w:r>
          </w:p>
        </w:tc>
      </w:tr>
      <w:tr w:rsidR="004D4FDC">
        <w:trPr>
          <w:trHeight w:val="703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hd w:val="clear" w:color="auto" w:fill="FFFFFF"/>
              <w:spacing w:line="420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项目：医院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户外屏预算</w:t>
            </w:r>
            <w:proofErr w:type="gramEnd"/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价调研</w:t>
            </w:r>
          </w:p>
        </w:tc>
      </w:tr>
      <w:tr w:rsidR="004D4FDC">
        <w:trPr>
          <w:trHeight w:val="6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文件正本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 xml:space="preserve">　 1　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份，副本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 xml:space="preserve">　 2 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份。</w:t>
            </w:r>
          </w:p>
        </w:tc>
      </w:tr>
      <w:tr w:rsidR="004D4FDC">
        <w:trPr>
          <w:trHeight w:val="626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有效期：自文件发出日期起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 xml:space="preserve">　90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个日历日。</w:t>
            </w:r>
          </w:p>
        </w:tc>
      </w:tr>
      <w:tr w:rsidR="004D4FDC">
        <w:trPr>
          <w:trHeight w:val="631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文件递交处：</w:t>
            </w: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>福建省肿瘤医院 网络办会议室</w:t>
            </w:r>
            <w:proofErr w:type="gramStart"/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</w:t>
            </w:r>
            <w:proofErr w:type="gramEnd"/>
          </w:p>
        </w:tc>
      </w:tr>
      <w:tr w:rsidR="004D4FDC">
        <w:trPr>
          <w:trHeight w:val="567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jc w:val="center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15" w:lineRule="atLeast"/>
              <w:rPr>
                <w:rFonts w:ascii="Calibri" w:eastAsia="宋体" w:hAnsi="Calibri" w:cs="Calibri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Calibri" w:hint="eastAsia"/>
                <w:color w:val="000000"/>
                <w:kern w:val="0"/>
                <w:sz w:val="28"/>
                <w:szCs w:val="28"/>
              </w:rPr>
              <w:t>上述时间、地点如有变动，以单位届时通知为准。</w:t>
            </w:r>
          </w:p>
        </w:tc>
      </w:tr>
    </w:tbl>
    <w:p w:rsidR="004D4FDC" w:rsidRDefault="00E41548">
      <w:pPr>
        <w:widowControl/>
        <w:shd w:val="clear" w:color="auto" w:fill="FFFFFF"/>
        <w:spacing w:line="420" w:lineRule="atLeast"/>
        <w:jc w:val="center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p w:rsidR="004D4FDC" w:rsidRDefault="00E41548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地　址：福建省福州市福马路420号省肿瘤医院科研楼四</w:t>
      </w:r>
      <w:proofErr w:type="gramStart"/>
      <w:r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楼网络办</w:t>
      </w:r>
      <w:proofErr w:type="gramEnd"/>
    </w:p>
    <w:p w:rsidR="004D4FDC" w:rsidRDefault="00E41548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邮　编： 350014　 </w:t>
      </w:r>
    </w:p>
    <w:p w:rsidR="004D4FDC" w:rsidRDefault="00E41548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kern w:val="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电　话： 83660063-8822</w:t>
      </w:r>
    </w:p>
    <w:p w:rsidR="004D4FDC" w:rsidRDefault="00E41548">
      <w:pPr>
        <w:widowControl/>
        <w:shd w:val="clear" w:color="auto" w:fill="FFFFFF"/>
        <w:spacing w:line="440" w:lineRule="atLeast"/>
        <w:rPr>
          <w:rFonts w:ascii="Calibri" w:eastAsia="宋体" w:hAnsi="Calibri" w:cs="Calibri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>联系人：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宋体" w:eastAsia="宋体" w:hAnsi="宋体" w:cs="Calibri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B6772C"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钱</w:t>
      </w:r>
      <w:r>
        <w:rPr>
          <w:rFonts w:ascii="宋体" w:eastAsia="宋体" w:hAnsi="宋体" w:cs="Calibri" w:hint="eastAsia"/>
          <w:color w:val="000000"/>
          <w:kern w:val="0"/>
          <w:sz w:val="28"/>
          <w:szCs w:val="28"/>
          <w:shd w:val="clear" w:color="auto" w:fill="FFFFFF"/>
        </w:rPr>
        <w:t xml:space="preserve"> 工</w:t>
      </w:r>
    </w:p>
    <w:p w:rsidR="004D4FDC" w:rsidRDefault="00E41548">
      <w:pPr>
        <w:widowControl/>
        <w:shd w:val="clear" w:color="auto" w:fill="FFFFFF"/>
        <w:spacing w:line="440" w:lineRule="atLeast"/>
        <w:ind w:firstLine="480"/>
        <w:rPr>
          <w:rFonts w:ascii="Calibri" w:eastAsia="宋体" w:hAnsi="Calibri" w:cs="Calibri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 </w:t>
      </w:r>
    </w:p>
    <w:p w:rsidR="004D4FDC" w:rsidRDefault="004D4FDC"/>
    <w:p w:rsidR="004D4FDC" w:rsidRDefault="004D4FDC">
      <w:pPr>
        <w:pStyle w:val="a0"/>
      </w:pPr>
    </w:p>
    <w:p w:rsidR="004D4FDC" w:rsidRDefault="004D4FDC">
      <w:pPr>
        <w:pStyle w:val="a0"/>
      </w:pPr>
    </w:p>
    <w:p w:rsidR="004D4FDC" w:rsidRDefault="004D4FDC">
      <w:pPr>
        <w:pStyle w:val="a0"/>
      </w:pPr>
    </w:p>
    <w:p w:rsidR="004D4FDC" w:rsidRDefault="004D4FDC">
      <w:pPr>
        <w:pStyle w:val="a0"/>
      </w:pPr>
    </w:p>
    <w:p w:rsidR="004D4FDC" w:rsidRPr="00C335D1" w:rsidRDefault="00E41548" w:rsidP="007C0B44">
      <w:pPr>
        <w:pStyle w:val="a9"/>
        <w:spacing w:line="590" w:lineRule="exact"/>
        <w:ind w:left="630" w:firstLineChars="0" w:firstLine="0"/>
        <w:rPr>
          <w:rFonts w:ascii="宋体" w:eastAsia="宋体" w:hAnsi="宋体" w:cs="宋体"/>
          <w:sz w:val="32"/>
          <w:szCs w:val="32"/>
        </w:rPr>
      </w:pPr>
      <w:bookmarkStart w:id="0" w:name="_GoBack"/>
      <w:bookmarkEnd w:id="0"/>
      <w:r w:rsidRPr="00C335D1">
        <w:rPr>
          <w:rFonts w:ascii="宋体" w:eastAsia="宋体" w:hAnsi="宋体" w:cs="宋体" w:hint="eastAsia"/>
          <w:sz w:val="32"/>
          <w:szCs w:val="32"/>
        </w:rPr>
        <w:lastRenderedPageBreak/>
        <w:t>采购内容</w:t>
      </w:r>
    </w:p>
    <w:tbl>
      <w:tblPr>
        <w:tblpPr w:leftFromText="180" w:rightFromText="180" w:vertAnchor="text" w:horzAnchor="page" w:tblpX="2167" w:tblpY="306"/>
        <w:tblOverlap w:val="never"/>
        <w:tblW w:w="7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3443"/>
        <w:gridCol w:w="1443"/>
        <w:gridCol w:w="1776"/>
      </w:tblGrid>
      <w:tr w:rsidR="004D4FDC">
        <w:trPr>
          <w:trHeight w:val="399"/>
        </w:trPr>
        <w:tc>
          <w:tcPr>
            <w:tcW w:w="1176" w:type="dxa"/>
            <w:vAlign w:val="center"/>
          </w:tcPr>
          <w:p w:rsidR="004D4FDC" w:rsidRDefault="00E4154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合同包</w:t>
            </w:r>
          </w:p>
        </w:tc>
        <w:tc>
          <w:tcPr>
            <w:tcW w:w="3443" w:type="dxa"/>
            <w:tcBorders>
              <w:right w:val="single" w:sz="4" w:space="0" w:color="auto"/>
            </w:tcBorders>
            <w:vAlign w:val="center"/>
          </w:tcPr>
          <w:p w:rsidR="004D4FDC" w:rsidRDefault="00E415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采购标的</w:t>
            </w:r>
          </w:p>
        </w:tc>
        <w:tc>
          <w:tcPr>
            <w:tcW w:w="1443" w:type="dxa"/>
            <w:tcBorders>
              <w:right w:val="single" w:sz="4" w:space="0" w:color="auto"/>
            </w:tcBorders>
          </w:tcPr>
          <w:p w:rsidR="004D4FDC" w:rsidRDefault="00E415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数量/单位</w:t>
            </w:r>
          </w:p>
        </w:tc>
        <w:tc>
          <w:tcPr>
            <w:tcW w:w="1776" w:type="dxa"/>
          </w:tcPr>
          <w:p w:rsidR="004D4FDC" w:rsidRDefault="00E415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预算价</w:t>
            </w:r>
          </w:p>
        </w:tc>
      </w:tr>
      <w:tr w:rsidR="004D4FDC">
        <w:trPr>
          <w:trHeight w:val="1236"/>
        </w:trPr>
        <w:tc>
          <w:tcPr>
            <w:tcW w:w="1176" w:type="dxa"/>
            <w:vAlign w:val="center"/>
          </w:tcPr>
          <w:p w:rsidR="004D4FDC" w:rsidRDefault="00E41548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包1</w:t>
            </w:r>
          </w:p>
        </w:tc>
        <w:tc>
          <w:tcPr>
            <w:tcW w:w="3443" w:type="dxa"/>
            <w:tcBorders>
              <w:right w:val="single" w:sz="4" w:space="0" w:color="auto"/>
            </w:tcBorders>
            <w:vAlign w:val="center"/>
          </w:tcPr>
          <w:p w:rsidR="004D4FDC" w:rsidRDefault="00E415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医院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户外屏</w:t>
            </w:r>
            <w:proofErr w:type="gramEnd"/>
          </w:p>
        </w:tc>
        <w:tc>
          <w:tcPr>
            <w:tcW w:w="1443" w:type="dxa"/>
            <w:tcBorders>
              <w:right w:val="single" w:sz="4" w:space="0" w:color="auto"/>
            </w:tcBorders>
            <w:vAlign w:val="center"/>
          </w:tcPr>
          <w:p w:rsidR="004D4FDC" w:rsidRDefault="00E415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1套</w:t>
            </w:r>
          </w:p>
        </w:tc>
        <w:tc>
          <w:tcPr>
            <w:tcW w:w="1776" w:type="dxa"/>
            <w:vAlign w:val="center"/>
          </w:tcPr>
          <w:p w:rsidR="004D4FDC" w:rsidRDefault="00E41548" w:rsidP="00D54E5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  <w:r w:rsidR="00D54E5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4D4FDC" w:rsidRDefault="004D4FDC">
      <w:pPr>
        <w:widowControl/>
        <w:shd w:val="clear" w:color="auto" w:fill="FFFFFF"/>
        <w:ind w:firstLine="480"/>
        <w:rPr>
          <w:rFonts w:ascii="宋体" w:eastAsia="宋体" w:hAnsi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 w:rsidR="004D4FDC" w:rsidRDefault="004D4FDC">
      <w:pPr>
        <w:pStyle w:val="a0"/>
        <w:rPr>
          <w:lang w:val="en-US"/>
        </w:rPr>
      </w:pPr>
    </w:p>
    <w:p w:rsidR="004D4FDC" w:rsidRDefault="00E41548">
      <w:pPr>
        <w:numPr>
          <w:ilvl w:val="0"/>
          <w:numId w:val="1"/>
        </w:numPr>
        <w:spacing w:line="59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系统功能及服务要求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6"/>
        <w:gridCol w:w="1500"/>
        <w:gridCol w:w="4470"/>
        <w:gridCol w:w="579"/>
        <w:gridCol w:w="1387"/>
      </w:tblGrid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  <w:kern w:val="0"/>
                <w:lang w:val="en-US" w:bidi="ar-SA"/>
              </w:rPr>
              <w:t>设备名称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规格参数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单位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数量</w:t>
            </w:r>
          </w:p>
        </w:tc>
      </w:tr>
      <w:tr w:rsidR="004D4FDC">
        <w:tc>
          <w:tcPr>
            <w:tcW w:w="586" w:type="dxa"/>
          </w:tcPr>
          <w:p w:rsidR="004D4FDC" w:rsidRDefault="004D4FDC">
            <w:pPr>
              <w:pStyle w:val="a0"/>
              <w:ind w:left="0"/>
            </w:pP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户外P4全彩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（核心产品）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显示面积:12800*7840mm=100.352㎡</w:t>
            </w:r>
          </w:p>
          <w:p w:rsidR="004D4FDC" w:rsidRDefault="00E41548">
            <w:pPr>
              <w:pStyle w:val="a0"/>
              <w:ind w:left="0"/>
            </w:pPr>
            <w:proofErr w:type="gramStart"/>
            <w:r>
              <w:rPr>
                <w:rFonts w:hint="eastAsia"/>
              </w:rPr>
              <w:t>含边面积</w:t>
            </w:r>
            <w:proofErr w:type="gramEnd"/>
            <w:r>
              <w:rPr>
                <w:rFonts w:hint="eastAsia"/>
              </w:rPr>
              <w:t>:13200*8240mm=108.768㎡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整屏分辨率：3200*1960点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像数点间距 4 mm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像素密度 62500 Dots/㎡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像素构成 1R1G1B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灯管封装 SMD1921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尺寸(长*宽*厚) 320*160*17.6mm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模组分辨率 80*40=3200dots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输入电压(直流) 4.2~5V（典型4.5V）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最大电流 ≤8.5A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模组功率 ≤40W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 驱动方式 恒流驱动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亮度 5000cd/㎡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亮度均匀性 ＞0.95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屏幕水平视角 120±10 度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屏幕垂直视角 90±10 度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最佳视距 ≥9m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使用环境 室外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lastRenderedPageBreak/>
              <w:t xml:space="preserve">使用寿命 ≥10万小时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平均无故障时间 ≥5000小时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衰减率(工作 3 年) ≤10％ 连续失控点 0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离散失控点 ＜30PPM，出厂时为 0 盲点率 ＜50PPM，出厂时为 0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工作温度范围 -10℃~40℃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工作湿度范围 10％~65％RH(无结露)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模组平整度 ＜0.5mm 刷新 3840Hz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色温 12000±500 K （2000K~14000K可调）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lastRenderedPageBreak/>
              <w:t>㎡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100.352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发送卡</w:t>
            </w:r>
          </w:p>
        </w:tc>
        <w:tc>
          <w:tcPr>
            <w:tcW w:w="4470" w:type="dxa"/>
          </w:tcPr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1、完备的输入接口，包括1路DP1.2，4路DVI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szCs w:val="24"/>
              </w:rPr>
              <w:t>、支持16路千兆网口和4路光纤口输出。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Cs w:val="24"/>
              </w:rPr>
              <w:t>、可支持2D与3D一键切换功能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Cs w:val="24"/>
              </w:rPr>
              <w:t>、4K输入下，支持单台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最大带载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3840x2160@60Hz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szCs w:val="24"/>
              </w:rPr>
              <w:t>、路DVI输入，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最大带载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能力：920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素点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Cs w:val="24"/>
              </w:rPr>
              <w:t>、采用创新型架构，实现智能配置，极大缩短舞台准备时间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szCs w:val="24"/>
              </w:rPr>
              <w:t>、采用 G4引擎，画面稳定无闪烁、无扫描线、图像细腻、层次感好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Cs w:val="24"/>
              </w:rPr>
              <w:t>、支持新一代逐点校正技术，校正过程快速高效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9</w:t>
            </w:r>
            <w:r>
              <w:rPr>
                <w:rFonts w:ascii="宋体" w:eastAsia="宋体" w:hAnsi="宋体" w:cs="宋体" w:hint="eastAsia"/>
                <w:szCs w:val="24"/>
              </w:rPr>
              <w:t>、根据显示屏所用LED的不同特性，实现白平衡校准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及色域匹配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，确保色彩真实还原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Cs w:val="24"/>
              </w:rPr>
              <w:t>、无需电脑，随时配屏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szCs w:val="24"/>
              </w:rPr>
              <w:t>、手动调节显示屏亮度，方便快捷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Cs w:val="24"/>
              </w:rPr>
              <w:t>、支持逐点亮色度校正技术，校正过程快速高效，支持直接现场校正；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Cs w:val="24"/>
              </w:rPr>
            </w:pPr>
            <w:r>
              <w:rPr>
                <w:rFonts w:ascii="宋体" w:eastAsia="宋体" w:hAnsi="宋体" w:cs="宋体"/>
                <w:szCs w:val="24"/>
              </w:rPr>
              <w:t>13</w:t>
            </w:r>
            <w:r>
              <w:rPr>
                <w:rFonts w:ascii="宋体" w:eastAsia="宋体" w:hAnsi="宋体" w:cs="宋体" w:hint="eastAsia"/>
                <w:szCs w:val="24"/>
              </w:rPr>
              <w:t>、支持设备备份和网口备份，设备故障或网线故障时保证屏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体运行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>过程正常无问题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1</w:t>
            </w:r>
            <w:r>
              <w:rPr>
                <w:rFonts w:ascii="宋体" w:eastAsia="宋体" w:hAnsi="宋体" w:cs="宋体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Cs w:val="24"/>
              </w:rPr>
              <w:t>、为保证产品的智能化，需提供智能LED显示屏运行状态监控系统和监控方法专利证书纸质版复印件，并加盖生产厂家公章。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台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3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接收卡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1. 单卡</w:t>
            </w:r>
            <w:proofErr w:type="gramStart"/>
            <w:r>
              <w:rPr>
                <w:rFonts w:hint="eastAsia"/>
              </w:rPr>
              <w:t>最大带载</w:t>
            </w:r>
            <w:proofErr w:type="gramEnd"/>
            <w:r>
              <w:rPr>
                <w:rFonts w:hint="eastAsia"/>
              </w:rPr>
              <w:t xml:space="preserve"> 512×384像素，最多支持 16 组RGB 并行数据；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2. 采用 16个标准HUB75接口，具有高稳定性和高可靠性，适用于多种环境的搭建；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3. 支持逐点亮色度校正，可以对每个灯点的亮度和色度进行校正，有效消除色差，使整屏的亮度和色度达到高度均匀一致，提高显示屏的画质；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4. 快速亮暗线调节在调试软件上进行快速亮暗线调节，快速解决因箱体及模组拼接造成的显示屏亮暗线，调节过程中即时生效，简单易用；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5. 配合支持 3D 功能的独立主控，在软件或独立主控的操作面板上开启 3D 功能，并设置 3D 参数，使画面显示 3D 效果；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6. Mapping功能开启，每个箱体上会显示数字，清楚告诉</w:t>
            </w:r>
            <w:proofErr w:type="gramStart"/>
            <w:r>
              <w:rPr>
                <w:rFonts w:hint="eastAsia"/>
              </w:rPr>
              <w:t>您当前</w:t>
            </w:r>
            <w:proofErr w:type="gramEnd"/>
            <w:r>
              <w:rPr>
                <w:rFonts w:hint="eastAsia"/>
              </w:rPr>
              <w:t>箱体是哪个网口下的哪张接收卡，直观的看到显示屏连接状况。从此让箱体排查变得轻松简单，快速定位问题箱体，再也无需再爬上爬下，根据走线更改连屏文件即可；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7. 可以将指定图片设置为显示屏的开机、网线断开或无视频源信号时的画面或者最后一帧画面；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8. 可以监测自身的温度和电压，无需其他外设，在软件上可以查看接收卡的温度和电压，检测发送设备与接收卡间或接收卡与接收卡间的网络通讯质量，记录错误包数，协助排除网络通讯隐患；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 xml:space="preserve">9. 支持5pin 液晶模块，用于显示接收卡的温度、电压、单次运行时间和总运行时间。支持千兆网，可通过网线直接连接PC端进行调试和显示，无需发送卡； 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10. 支持误码率监测接收卡间通讯时传输链路上的数据丢包情况；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11. 支持</w:t>
            </w:r>
            <w:proofErr w:type="gramStart"/>
            <w:r>
              <w:rPr>
                <w:rFonts w:hint="eastAsia"/>
              </w:rPr>
              <w:t>可以回读接收</w:t>
            </w:r>
            <w:proofErr w:type="gramEnd"/>
            <w:r>
              <w:rPr>
                <w:rFonts w:hint="eastAsia"/>
              </w:rPr>
              <w:t>卡的固件程序并</w:t>
            </w:r>
            <w:r>
              <w:rPr>
                <w:rFonts w:hint="eastAsia"/>
              </w:rPr>
              <w:lastRenderedPageBreak/>
              <w:t>保存到本地，软件</w:t>
            </w:r>
            <w:proofErr w:type="gramStart"/>
            <w:r>
              <w:rPr>
                <w:rFonts w:hint="eastAsia"/>
              </w:rPr>
              <w:t>可以回读接收</w:t>
            </w:r>
            <w:proofErr w:type="gramEnd"/>
            <w:r>
              <w:rPr>
                <w:rFonts w:hint="eastAsia"/>
              </w:rPr>
              <w:t>卡配置参数并保存到本地；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12. 通过主备冗余机制增加接收卡间网线级联的可靠性。主备级联线路中，当其中一条线路出现故障时，另一条线路会即时工作，保证显示屏正常工作；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13. 通过软件在接收卡上保存两份接收卡配置参数，其中一份作为备份参数；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14. 通过电源指示灯和状态指示灯不同闪烁状态可以判断，屏体工作状态，无需软件。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100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4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视频处理器</w:t>
            </w:r>
          </w:p>
        </w:tc>
        <w:tc>
          <w:tcPr>
            <w:tcW w:w="4470" w:type="dxa"/>
          </w:tcPr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、全硬件架构，系统采用嵌入式处理方式，无操作系统影响，信号与桌面独立处理；支持热插拔，带电拔出不影响其他模块的正常运行；具备7x24小时长时间连续开机工作的能力；支持60Hz图像处理不丢帧，输入输出延时＜30ms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2、支持大屏拼接、LED 、融合、90°融合四种大屏模式；可设置拼接处理器输出通道与物理显示设备的逻辑对应关系，输出通道与物理显示逻辑顺序可调；支持边缘融合带生成，可设范围0~100%；（提供具有CMA、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</w:rPr>
              <w:t>ilac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</w:rPr>
              <w:t>-MRA、CNAS标识的第三方检测报告复印件）；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3、支持窗口拼接、叠加、漫游、切换、缩放、画中画功能；支持在输出通道打开一个或多个窗口，显示图像内容，单屏可开16个高清信号窗口，支持1 、4 、9 、16 分割的多个窗口形式布局。支持设置拼接屏的拼缝补偿，可精确至1像素；（提供具有CMA、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</w:rPr>
              <w:t>ilac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</w:rPr>
              <w:t>-MRA、CNAS标识的第三方检测报告复印件）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4、具备无缝切换功能、完全无黑场，无过渡态，切换20ms；输入板卡热插拔恢复时间&lt;3s；输出板卡热插拔恢复时间&lt;5s；图像开窗响应速度&lt;16ms；场景调取响应速度低于16ms；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5、支持DVI、HDMI、SDI、DP、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</w:rPr>
              <w:t>YPbPr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</w:rPr>
              <w:t>、VGA、CVBS、4K HDMI、4KDP、IP（H.264、H.265</w:t>
            </w:r>
            <w:r w:rsidR="00C335D1">
              <w:rPr>
                <w:rFonts w:asciiTheme="minorEastAsia" w:hAnsiTheme="minorEastAsia" w:cstheme="minorEastAsia"/>
                <w:sz w:val="24"/>
              </w:rPr>
              <w:t>）</w:t>
            </w:r>
            <w:r>
              <w:rPr>
                <w:rFonts w:asciiTheme="minorEastAsia" w:hAnsiTheme="minorEastAsia" w:cstheme="minorEastAsia" w:hint="eastAsia"/>
                <w:sz w:val="24"/>
              </w:rPr>
              <w:t>、NET、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</w:rPr>
              <w:t>HDBaseT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</w:rPr>
              <w:t xml:space="preserve">、4K </w:t>
            </w:r>
            <w:proofErr w:type="spellStart"/>
            <w:r>
              <w:rPr>
                <w:rFonts w:asciiTheme="minorEastAsia" w:hAnsiTheme="minorEastAsia" w:cstheme="minorEastAsia" w:hint="eastAsia"/>
                <w:sz w:val="24"/>
              </w:rPr>
              <w:t>HDBaseT</w:t>
            </w:r>
            <w:proofErr w:type="spellEnd"/>
            <w:r>
              <w:rPr>
                <w:rFonts w:asciiTheme="minorEastAsia" w:hAnsiTheme="minorEastAsia" w:cstheme="minorEastAsia" w:hint="eastAsia"/>
                <w:sz w:val="24"/>
              </w:rPr>
              <w:t>、Fiber、4K Fiber类型信号接口，可改变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输入卡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EDID，以支持更大分辨率；可调节输出高级计时实现更大分辨率输出；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6、支持开窗及场景的预布局，预布局过程中，拼接屏显示画面不受影响；窗口布局时支持窗口锁定功能，窗口锁定时，使用人员无法变更窗口设置；支持预存场景，支持场景一键切换，支持场景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轮巡及设置轮巡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时间间隔；支持无极缩放，画面缩小后，大屏显示依然清晰；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7、支持台标功能，即在信号源（包含视频编码信号源）上叠加相应的字幕，可设置文字字体、大小、颜色、背景颜色以及台标的缩放；支持在屏幕上显示滚动的字幕，字幕的字体大小、颜色、底色及滚动速度可以自定义设置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8、支持复制输出，可用于备份或环出监看；支持光纤形式的接口及线路备份，其中一路出现问题时可自动切换备用路线；支持1+1冗余电源并且支持热插拔；支持输入信号丢失检测，图形化显示，支持输</w:t>
            </w: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出信号状态监测；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9、PC客户端支持windows XP、windows7、windows 10操作系统，移动控制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端支持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windows、IOS、Android操作系统，支持简体中文、繁体中文、英文多种语言界面，可随意切换使用；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10、支持系统数据备份恢复，备份的数据包括系统的配置，当前拼接模式、拼接场景、窗口、大屏配置、用户信息、分辨率、快捷键配置信息；支持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远程对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拼接处理器的开关机控制；支持上传许可文件，以控制设备的使用期限；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11、产品通过环境可靠性室试验，试验项目包含：高低温贮存、高低温工作、工作温度循环、交变湿热、裸机工作振动、振动耐久、随机振动、裸机工作冲击及运输包装跌落等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且试验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结果都符合国家标准要求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12、产品通过静电放电抗扰度、射频电磁场辐射抗扰度、电快速瞬变脉冲群抗扰度、浪涌（冲击）抗扰度和射频感应的传导骚扰抗扰度A级检验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spacing w:after="50"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13、具有视频图像预览方法和系统、图像拼接控制系统及其冗余</w:t>
            </w:r>
            <w:proofErr w:type="gramStart"/>
            <w:r>
              <w:rPr>
                <w:rFonts w:asciiTheme="minorEastAsia" w:hAnsiTheme="minorEastAsia" w:cstheme="minorEastAsia" w:hint="eastAsia"/>
                <w:sz w:val="24"/>
              </w:rPr>
              <w:t>热备方法</w:t>
            </w:r>
            <w:proofErr w:type="gramEnd"/>
            <w:r>
              <w:rPr>
                <w:rFonts w:asciiTheme="minorEastAsia" w:hAnsiTheme="minorEastAsia" w:cstheme="minorEastAsia" w:hint="eastAsia"/>
                <w:sz w:val="24"/>
              </w:rPr>
              <w:t>及多组拼接屏的视频同步装置及显示设备等技术</w:t>
            </w:r>
            <w:r>
              <w:rPr>
                <w:rFonts w:hint="eastAsia"/>
              </w:rPr>
              <w:t>；</w:t>
            </w:r>
          </w:p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asciiTheme="minorEastAsia" w:hAnsiTheme="minorEastAsia" w:cstheme="minorEastAsia" w:hint="eastAsia"/>
              </w:rPr>
              <w:t>1</w:t>
            </w:r>
            <w:r>
              <w:rPr>
                <w:rFonts w:asciiTheme="minorEastAsia" w:hAnsiTheme="minorEastAsia" w:cstheme="minorEastAsia" w:hint="eastAsia"/>
                <w:lang w:val="en-US"/>
              </w:rPr>
              <w:t>4</w:t>
            </w:r>
            <w:r>
              <w:rPr>
                <w:rFonts w:asciiTheme="minorEastAsia" w:hAnsiTheme="minorEastAsia" w:cstheme="minorEastAsia" w:hint="eastAsia"/>
              </w:rPr>
              <w:t>、产品具有3C认证且MTBF时间＞10万小时，投标时需提供相关证书或检验报告复印件</w:t>
            </w:r>
            <w:r>
              <w:rPr>
                <w:rFonts w:asciiTheme="minorEastAsia" w:hAnsiTheme="minorEastAsia" w:cstheme="minorEastAsia" w:hint="eastAsia"/>
                <w:lang w:val="en-US"/>
              </w:rPr>
              <w:t>。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lastRenderedPageBreak/>
              <w:t>台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5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多媒体播放器</w:t>
            </w:r>
          </w:p>
        </w:tc>
        <w:tc>
          <w:tcPr>
            <w:tcW w:w="4470" w:type="dxa"/>
            <w:vAlign w:val="center"/>
          </w:tcPr>
          <w:p w:rsidR="004D4FDC" w:rsidRDefault="00E41548">
            <w:pPr>
              <w:pStyle w:val="a7"/>
              <w:widowControl/>
              <w:spacing w:line="13" w:lineRule="atLeast"/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支持 230 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</w:rPr>
              <w:t>万像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</w:rPr>
              <w:t>素点带载能力</w:t>
            </w:r>
            <w:r>
              <w:rPr>
                <w:rFonts w:ascii="Arial" w:hAnsi="Arial" w:cs="Arial"/>
                <w:szCs w:val="24"/>
              </w:rPr>
              <w:br/>
            </w:r>
            <w:r>
              <w:rPr>
                <w:rFonts w:ascii="宋体" w:eastAsia="宋体" w:hAnsi="宋体" w:cs="宋体" w:hint="eastAsia"/>
                <w:szCs w:val="24"/>
              </w:rPr>
              <w:t>支持多屏播放同步机制</w:t>
            </w:r>
          </w:p>
          <w:p w:rsidR="004D4FDC" w:rsidRDefault="00E41548">
            <w:pPr>
              <w:pStyle w:val="a7"/>
              <w:widowControl/>
              <w:spacing w:line="22" w:lineRule="atLeast"/>
            </w:pPr>
            <w:r>
              <w:rPr>
                <w:rFonts w:ascii="宋体" w:eastAsia="宋体" w:hAnsi="宋体" w:cs="宋体" w:hint="eastAsia"/>
                <w:szCs w:val="24"/>
              </w:rPr>
              <w:t>处理能力8核，2GB运行内存+</w:t>
            </w:r>
            <w:proofErr w:type="gramStart"/>
            <w:r>
              <w:rPr>
                <w:rFonts w:ascii="宋体" w:eastAsia="宋体" w:hAnsi="宋体" w:cs="宋体" w:hint="eastAsia"/>
                <w:szCs w:val="24"/>
              </w:rPr>
              <w:t>板载</w:t>
            </w:r>
            <w:proofErr w:type="gramEnd"/>
            <w:r>
              <w:rPr>
                <w:rFonts w:ascii="宋体" w:eastAsia="宋体" w:hAnsi="宋体" w:cs="宋体" w:hint="eastAsia"/>
                <w:szCs w:val="24"/>
              </w:rPr>
              <w:t xml:space="preserve"> 128GB 内部存储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处理性能强大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全方位控制方案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支持同步异步双模式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 xml:space="preserve">支持双 </w:t>
            </w:r>
            <w:proofErr w:type="spellStart"/>
            <w:r>
              <w:rPr>
                <w:rFonts w:ascii="宋体" w:eastAsia="宋体" w:hAnsi="宋体" w:cs="宋体" w:hint="eastAsia"/>
                <w:szCs w:val="24"/>
              </w:rPr>
              <w:t>WiFi</w:t>
            </w:r>
            <w:proofErr w:type="spellEnd"/>
            <w:r>
              <w:rPr>
                <w:rFonts w:ascii="宋体" w:eastAsia="宋体" w:hAnsi="宋体" w:cs="宋体" w:hint="eastAsia"/>
                <w:szCs w:val="24"/>
              </w:rPr>
              <w:t xml:space="preserve"> 模式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支持 4G 模块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Arial" w:hAnsi="Arial" w:cs="Arial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该产品可广泛应用于 LED 商业显示领域，例如灯杆屏、连锁店屏、广告机、镜子屏、零售店屏、门头屏、车载屏、无需 PC 的屏等。</w:t>
            </w:r>
          </w:p>
          <w:p w:rsidR="004D4FDC" w:rsidRDefault="00E41548" w:rsidP="00D54E5E">
            <w:pPr>
              <w:pStyle w:val="a7"/>
              <w:widowControl/>
              <w:spacing w:line="13" w:lineRule="atLeast"/>
              <w:rPr>
                <w:rFonts w:asciiTheme="minorEastAsia" w:hAnsiTheme="minorEastAsia" w:cstheme="minorEastAsia"/>
              </w:rPr>
            </w:pPr>
            <w:r>
              <w:rPr>
                <w:rFonts w:ascii="宋体" w:eastAsia="宋体" w:hAnsi="宋体" w:cs="宋体" w:hint="eastAsia"/>
                <w:szCs w:val="24"/>
              </w:rPr>
              <w:t>对同步性要求高时，建议使用同步对时模块，具体方案请咨询相应的技术人员。 全方位控制方案除了支持 PC 端、手机端、局域网的节目发布和显示屏控制，还支持远程集中发布和监控。</w:t>
            </w:r>
            <w:r>
              <w:rPr>
                <w:rFonts w:ascii="Arial" w:hAnsi="Arial" w:cs="Arial"/>
                <w:sz w:val="22"/>
              </w:rPr>
              <w:t> 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台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6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asciiTheme="minorEastAsia" w:eastAsiaTheme="minorEastAsia" w:hAnsiTheme="minorEastAsia" w:cstheme="minorEastAsia" w:hint="eastAsia"/>
                <w:szCs w:val="22"/>
                <w:lang w:val="en-US" w:bidi="ar-SA"/>
              </w:rPr>
              <w:t>信息发布软件</w:t>
            </w:r>
          </w:p>
        </w:tc>
        <w:tc>
          <w:tcPr>
            <w:tcW w:w="4470" w:type="dxa"/>
            <w:vAlign w:val="center"/>
          </w:tcPr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（1）架构设计上支持纯虚拟化技术，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全云架构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，管理端无需配置单独台式机电脑，在任意手机、平板、PC等可联网设备上均可以对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云发布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系统进行管理；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（2）为了业务系统安全运行需要，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云发布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系统要具有容灾能力，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云发布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系统故障不影响终端大屏内容播放；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（3）为了业务扩展需要，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云发布系统需支持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集群式部署，易于横向扩展；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2、基础功能：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云发布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管理平台无需单独安装客户端，可实现随时随地访问，融合实现：媒体管理、用户管理、角色管理、工作组管理、媒体审批、节目管理、播放器管理、播放日志管理；</w:t>
            </w:r>
          </w:p>
          <w:p w:rsidR="004D4FDC" w:rsidRDefault="00E41548" w:rsidP="00C335D1">
            <w:pPr>
              <w:pStyle w:val="a7"/>
              <w:widowControl/>
              <w:numPr>
                <w:ilvl w:val="0"/>
                <w:numId w:val="4"/>
              </w:numPr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媒体管理：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支持主流的图片、视频、音频及RSS,HTML等诸多媒体格式；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需支持云媒体库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管理，满足任何支持浏览器设备随时访问并管理媒体库，同时支持多种过滤条件筛选(类型、工作组、类别、有效日期、批准状态)；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媒体支持在线预览；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同一个媒体支持多版本管理；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（2）用户管理：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系统内需支持多级用户管理；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lastRenderedPageBreak/>
              <w:t>用户支持分配到不同工作组进行分组管理，不同的工作组之间数据隔离；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用户支持分配多种角色，拥有其对应角色权限；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系统可针对不同用户设定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改用户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所使用系统语言；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（3）角色管理：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系统支持多权分立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功能，每个功能或功能组均可分配到给不同角色权限，不具备权限的角色不能操作；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（4）工作组管理：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系统可进行多级工作组树形结构管理；上级工作组可查看所有工作组内容，同级工作组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间数据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隔离；系统内工作组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间支持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文件共享。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（5）媒体审批：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用户上传媒体后，必须由拥有批准权限的用户审批后方可正常使用媒体（提供功能截图并加盖原厂公章）；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（6）节目管理：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可以在云端通过浏览器直接进行节目编辑和制作；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排期内可以添加多个播放清单，支持以多种周期进行播放排期；播放清单支持嵌套播放；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节目清单和排期均在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云发布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系统内进行管理，可随时在任意手机、平板、PC等可联网设备上进行节目的制作和管理；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排期制作完成后，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当内容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变更时，系统会自动更新节目并同步到播放器（提供现场功能演示）；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（7）播放器管理：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媒体播放到不同终端自适应分辨率；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proofErr w:type="gramStart"/>
            <w:r>
              <w:rPr>
                <w:rFonts w:asciiTheme="minorEastAsia" w:hAnsiTheme="minorEastAsia" w:cstheme="minorEastAsia" w:hint="eastAsia"/>
              </w:rPr>
              <w:t>云发布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系统可以随时监控播放器状态；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系统支持节目智能更新，播放器可绑定排期，绑定后排期内任何媒体更新、媒体版本更新、清单、时间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段等等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>节目相关的更新后，系统自动生成最新计划并下发到播放终端；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（8）播放日志管理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系统支持从浏览器中查看媒体播放日志，并支持以日期范围、类型、播放器等条件进行查询；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系统支持自动统计媒体播放次数、时长</w:t>
            </w:r>
            <w:r>
              <w:rPr>
                <w:rFonts w:asciiTheme="minorEastAsia" w:hAnsiTheme="minorEastAsia" w:cstheme="minorEastAsia" w:hint="eastAsia"/>
              </w:rPr>
              <w:lastRenderedPageBreak/>
              <w:t>（精确到毫秒），并定期生成报表；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（9）多屏播放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系统支持多窗口自定义布局播放，可任意设定播放窗口分辨率，同时支持多种标准分辨率选择，可根据X、Y偏移和宽高任意设定窗口布局方式，窗口数量不限。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（10）远程控制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系统支持实时控制，包括重启终端、开屏、关屏、软件远程更新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（11）远程控制计划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系统支持控制计划，包括重启、开关屏、双模切换、远程升级，可设置计划命令类型和执行周期，执行周期支持一次、每日、每周、每月多种执行方式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（10）云终端支持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播放终端同时支持X86、ARM架构终端一体化设备，支持现有X86同步终端</w:t>
            </w:r>
            <w:proofErr w:type="gramStart"/>
            <w:r>
              <w:rPr>
                <w:rFonts w:asciiTheme="minorEastAsia" w:hAnsiTheme="minorEastAsia" w:cstheme="minorEastAsia" w:hint="eastAsia"/>
              </w:rPr>
              <w:t>的利旧使用</w:t>
            </w:r>
            <w:proofErr w:type="gramEnd"/>
            <w:r>
              <w:rPr>
                <w:rFonts w:asciiTheme="minorEastAsia" w:hAnsiTheme="minorEastAsia" w:cstheme="minorEastAsia" w:hint="eastAsia"/>
              </w:rPr>
              <w:t xml:space="preserve">，并支持以上终端设备的混合使用。以上功能在实施交付验收时须对应功能进行验证。 </w:t>
            </w:r>
          </w:p>
          <w:p w:rsidR="004D4FDC" w:rsidRDefault="00E41548">
            <w:pPr>
              <w:pStyle w:val="a7"/>
              <w:widowControl/>
              <w:spacing w:line="18" w:lineRule="atLeast"/>
              <w:rPr>
                <w:rFonts w:asciiTheme="minorEastAsia" w:hAnsiTheme="minorEastAsia" w:cstheme="minorEastAsia"/>
              </w:rPr>
            </w:pPr>
            <w:r>
              <w:rPr>
                <w:rFonts w:asciiTheme="minorEastAsia" w:hAnsiTheme="minorEastAsia" w:cstheme="minorEastAsia" w:hint="eastAsia"/>
              </w:rPr>
              <w:t>（11）OEM定制</w:t>
            </w:r>
          </w:p>
          <w:p w:rsidR="004D4FDC" w:rsidRDefault="00E41548">
            <w:pPr>
              <w:pStyle w:val="a7"/>
              <w:widowControl/>
              <w:spacing w:line="13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</w:rPr>
              <w:t>系统支持自定义深度OEM定制，可任意自定义系统图标、企业名称、登陆域名、网站链接、系统名称、版权信息等品牌信息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开关电源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型号：5V40A，详细配置：开关电源：输入电源：176V-264V ，频率范围47-63HZ，输出直流电压5V，输出电流40A，，电源直流输出纹波与噪声小:100mVP-P,瞬态响应快：电源输出稳定的电压对其供电的电路抗干扰性有好处，保证电路工作稳定。为确保稳定性，电源品牌与L</w:t>
            </w:r>
            <w:r>
              <w:t>ED</w:t>
            </w:r>
            <w:r>
              <w:rPr>
                <w:rFonts w:hint="eastAsia"/>
              </w:rPr>
              <w:t>品牌为同一品牌厂家。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台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400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</w:pPr>
            <w:r>
              <w:t>8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钢结构固定及框架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显示面积:12800*7840mm=100.352㎡</w:t>
            </w:r>
          </w:p>
          <w:p w:rsidR="004D4FDC" w:rsidRDefault="00E41548">
            <w:pPr>
              <w:pStyle w:val="a0"/>
              <w:ind w:left="0"/>
            </w:pPr>
            <w:proofErr w:type="gramStart"/>
            <w:r>
              <w:rPr>
                <w:rFonts w:hint="eastAsia"/>
              </w:rPr>
              <w:t>含边面积</w:t>
            </w:r>
            <w:proofErr w:type="gramEnd"/>
            <w:r>
              <w:rPr>
                <w:rFonts w:hint="eastAsia"/>
              </w:rPr>
              <w:t>:13200*8240mm=108.768㎡ 厚度800mm；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结构：3*5镀锌管；钢架构件（含接合板）采用Q235B钢制作，结构用钢应符合，《GB700-88》规定的Q235要求，保证其抗拉强度、伸长率、屈服点，碳、硫、磷的极限含量；焊条：手工焊：Q235连接用E43系列焊条；自动焊：Q235连接用H08系列焊条。钢</w:t>
            </w:r>
            <w:proofErr w:type="gramStart"/>
            <w:r>
              <w:rPr>
                <w:rFonts w:hint="eastAsia"/>
              </w:rPr>
              <w:t>构整体</w:t>
            </w:r>
            <w:proofErr w:type="gramEnd"/>
            <w:r>
              <w:rPr>
                <w:rFonts w:hint="eastAsia"/>
              </w:rPr>
              <w:t>包边双层防水，</w:t>
            </w:r>
            <w:r>
              <w:rPr>
                <w:rFonts w:hint="eastAsia"/>
              </w:rPr>
              <w:lastRenderedPageBreak/>
              <w:t>顶层开导流槽，低端开导流口，缝隙衔接处内外双层封胶。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lastRenderedPageBreak/>
              <w:t>㎡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108.768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9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空调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2P，温控自启动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台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5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音响功放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1. 带前置及功率放大，报警音频信号优先输入功能；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2. 带电平指示功能，自动检测输入信号强弱；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3. 2路线路输入AUX1，AUX2，1路辅助输出，3路话筒输入，第1路话筒MIC1具</w:t>
            </w:r>
            <w:proofErr w:type="gramStart"/>
            <w:r>
              <w:rPr>
                <w:rFonts w:hint="eastAsia"/>
              </w:rPr>
              <w:t>强切默音</w:t>
            </w:r>
            <w:proofErr w:type="gramEnd"/>
            <w:r>
              <w:rPr>
                <w:rFonts w:hint="eastAsia"/>
              </w:rPr>
              <w:t>功能，具有最高优先权；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4. 1路报警强插音源输入，报警输入EMC IN具有第二高优先权，当有报警音频输入时自动优先播放报警音乐；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5. 通道优先功能：MIC1&gt;EMC IN &gt;MIC2，AUX1，AUX2，MIC2 LINEIN，MIC3 LINE IN ，70V、100V定压输出，4Ω-16Ω定阻输出；备有链接口，便于链接下一台功放，级联不失真；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6. 设有总音量调节旋钮，可控制机器总音量输出；各输入通道独立音量控制，具高、低音音调控制；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7. 由前往后强制风冷，50℃时加速抽风，90℃强制保护并告警；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8. 具有短路、过载、过热、饱和失真、直流输出等保护功能，保护的同时设备自动断开输出；独立的启动保护线路，避免开机瞬间启动电流对设备的损害；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9. 带压限电路，限制输入信号过大，高效放大电路，输出功率强劲有力，独立的静噪音线路处理。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技术参数：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输出功率：260W；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输出电压：70V、100V or 4-16Ω；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输入灵敏度：MINC:600Ω 300mv AUX:15KΩ不平衡；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输出灵敏度：600Ω 1V （0dB）；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lastRenderedPageBreak/>
              <w:t>信噪比：MIC：＞70 AUX：＞80；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频率响应：80Hz-18KHz；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总谐波失真：&lt;0.8%；</w:t>
            </w:r>
          </w:p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产品尺寸（mm）： 480×90×305。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lastRenderedPageBreak/>
              <w:t>套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配电箱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100KW智能配电箱；配置检修插座、延时启动、定时控制、独立风机控制、避雷浪</w:t>
            </w:r>
            <w:proofErr w:type="gramStart"/>
            <w:r>
              <w:rPr>
                <w:rFonts w:hint="eastAsia"/>
              </w:rPr>
              <w:t>涌保护</w:t>
            </w:r>
            <w:proofErr w:type="gramEnd"/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计算机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I5-7500;8G；1T DVDRW;另配2G独立显卡（英伟达），带DVI接口，21.5寸显示器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台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:rsidR="004D4FDC">
        <w:tc>
          <w:tcPr>
            <w:tcW w:w="586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50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线材</w:t>
            </w:r>
          </w:p>
        </w:tc>
        <w:tc>
          <w:tcPr>
            <w:tcW w:w="4470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电缆、通讯线材（超五类网线等） 电缆安装应符合建筑安装规范，包括桥架及穿管。</w:t>
            </w:r>
          </w:p>
        </w:tc>
        <w:tc>
          <w:tcPr>
            <w:tcW w:w="579" w:type="dxa"/>
          </w:tcPr>
          <w:p w:rsidR="004D4FDC" w:rsidRDefault="00E41548">
            <w:pPr>
              <w:pStyle w:val="a0"/>
              <w:ind w:left="0"/>
            </w:pPr>
            <w:r>
              <w:rPr>
                <w:rFonts w:hint="eastAsia"/>
              </w:rPr>
              <w:t>套</w:t>
            </w:r>
          </w:p>
        </w:tc>
        <w:tc>
          <w:tcPr>
            <w:tcW w:w="1387" w:type="dxa"/>
          </w:tcPr>
          <w:p w:rsidR="004D4FDC" w:rsidRDefault="00E41548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</w:p>
        </w:tc>
      </w:tr>
      <w:tr w:rsidR="00C335D1">
        <w:tc>
          <w:tcPr>
            <w:tcW w:w="586" w:type="dxa"/>
          </w:tcPr>
          <w:p w:rsidR="00C335D1" w:rsidRDefault="00C335D1">
            <w:pPr>
              <w:pStyle w:val="a0"/>
              <w:ind w:left="0"/>
              <w:rPr>
                <w:lang w:val="en-US"/>
              </w:rPr>
            </w:pPr>
            <w:r>
              <w:rPr>
                <w:rFonts w:hint="eastAsia"/>
                <w:lang w:val="en-US"/>
              </w:rP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500" w:type="dxa"/>
          </w:tcPr>
          <w:p w:rsidR="00C335D1" w:rsidRDefault="00C335D1">
            <w:pPr>
              <w:pStyle w:val="a0"/>
              <w:ind w:left="0"/>
            </w:pPr>
            <w:r>
              <w:rPr>
                <w:rFonts w:hint="eastAsia"/>
              </w:rPr>
              <w:t>其他</w:t>
            </w:r>
          </w:p>
        </w:tc>
        <w:tc>
          <w:tcPr>
            <w:tcW w:w="4470" w:type="dxa"/>
          </w:tcPr>
          <w:p w:rsidR="00C335D1" w:rsidRDefault="00E41548" w:rsidP="00E41548">
            <w:pPr>
              <w:pStyle w:val="a0"/>
              <w:ind w:left="0"/>
            </w:pPr>
            <w:r>
              <w:rPr>
                <w:rFonts w:hint="eastAsia"/>
              </w:rPr>
              <w:t>协助完成</w:t>
            </w:r>
            <w:r w:rsidR="00C335D1">
              <w:rPr>
                <w:rFonts w:hint="eastAsia"/>
              </w:rPr>
              <w:t>城管、灯光办等管理部门</w:t>
            </w:r>
            <w:r>
              <w:rPr>
                <w:rFonts w:hint="eastAsia"/>
              </w:rPr>
              <w:t>的</w:t>
            </w:r>
            <w:r w:rsidR="00C335D1">
              <w:rPr>
                <w:rFonts w:hint="eastAsia"/>
              </w:rPr>
              <w:t>报备</w:t>
            </w:r>
            <w:r>
              <w:rPr>
                <w:rFonts w:hint="eastAsia"/>
              </w:rPr>
              <w:t>工作</w:t>
            </w:r>
          </w:p>
        </w:tc>
        <w:tc>
          <w:tcPr>
            <w:tcW w:w="579" w:type="dxa"/>
          </w:tcPr>
          <w:p w:rsidR="00C335D1" w:rsidRDefault="00C335D1">
            <w:pPr>
              <w:pStyle w:val="a0"/>
              <w:ind w:left="0"/>
            </w:pPr>
          </w:p>
        </w:tc>
        <w:tc>
          <w:tcPr>
            <w:tcW w:w="1387" w:type="dxa"/>
          </w:tcPr>
          <w:p w:rsidR="00C335D1" w:rsidRDefault="00C335D1">
            <w:pPr>
              <w:pStyle w:val="a0"/>
              <w:ind w:left="0"/>
              <w:rPr>
                <w:lang w:val="en-US"/>
              </w:rPr>
            </w:pPr>
          </w:p>
        </w:tc>
      </w:tr>
    </w:tbl>
    <w:p w:rsidR="004D4FDC" w:rsidRDefault="004D4FDC">
      <w:pPr>
        <w:pStyle w:val="a0"/>
      </w:pPr>
    </w:p>
    <w:p w:rsidR="004D4FDC" w:rsidRDefault="00E41548">
      <w:pPr>
        <w:spacing w:line="59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三、本次调研说明</w:t>
      </w:r>
    </w:p>
    <w:p w:rsidR="004D4FDC" w:rsidRDefault="00E41548">
      <w:pPr>
        <w:numPr>
          <w:ilvl w:val="0"/>
          <w:numId w:val="2"/>
        </w:numPr>
        <w:spacing w:line="59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本预算价调研会的会议结论仅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做为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本项目公开招标的预算限价；</w:t>
      </w:r>
    </w:p>
    <w:p w:rsidR="004D4FDC" w:rsidRDefault="00E41548">
      <w:pPr>
        <w:numPr>
          <w:ilvl w:val="0"/>
          <w:numId w:val="2"/>
        </w:numPr>
        <w:spacing w:line="59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本预算价调研会不做参与投标的限制条件；</w:t>
      </w:r>
    </w:p>
    <w:p w:rsidR="004D4FDC" w:rsidRDefault="00E41548">
      <w:pPr>
        <w:numPr>
          <w:ilvl w:val="0"/>
          <w:numId w:val="2"/>
        </w:numPr>
        <w:spacing w:line="590" w:lineRule="exact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上述各参数将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做为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本项目招标的主要参数，不代表本项目公开招标的最终参数；</w:t>
      </w:r>
    </w:p>
    <w:p w:rsidR="004D4FDC" w:rsidRDefault="004D4FDC">
      <w:pPr>
        <w:widowControl/>
        <w:spacing w:line="590" w:lineRule="atLeast"/>
        <w:ind w:firstLine="560"/>
        <w:jc w:val="left"/>
        <w:rPr>
          <w:rFonts w:ascii="宋体" w:eastAsia="宋体" w:hAnsi="宋体" w:cs="Calibri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4D4FDC">
      <w:pPr>
        <w:widowControl/>
        <w:shd w:val="clear" w:color="auto" w:fill="FFFFFF"/>
        <w:spacing w:line="420" w:lineRule="atLeast"/>
        <w:rPr>
          <w:rFonts w:ascii="宋体" w:eastAsia="宋体" w:hAnsi="宋体" w:cs="Calibri"/>
          <w:b/>
          <w:bCs/>
          <w:color w:val="000000"/>
          <w:kern w:val="0"/>
          <w:sz w:val="28"/>
          <w:szCs w:val="28"/>
          <w:shd w:val="clear" w:color="auto" w:fill="FFFFFF"/>
        </w:rPr>
      </w:pPr>
    </w:p>
    <w:p w:rsidR="004D4FDC" w:rsidRDefault="00E41548">
      <w:pPr>
        <w:widowControl/>
        <w:shd w:val="clear" w:color="auto" w:fill="FFFFFF"/>
        <w:spacing w:line="420" w:lineRule="atLeast"/>
        <w:rPr>
          <w:rFonts w:ascii="Calibri" w:eastAsia="宋体" w:hAnsi="Calibri" w:cs="Calibri"/>
          <w:kern w:val="0"/>
          <w:szCs w:val="21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　</w:t>
      </w:r>
    </w:p>
    <w:p w:rsidR="004D4FDC" w:rsidRDefault="00E41548">
      <w:pPr>
        <w:widowControl/>
        <w:shd w:val="clear" w:color="auto" w:fill="FFFFFF"/>
        <w:spacing w:line="336" w:lineRule="auto"/>
        <w:jc w:val="center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项目文件回执单</w:t>
      </w:r>
    </w:p>
    <w:p w:rsidR="004D4FDC" w:rsidRDefault="00E41548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请有意参与的各公司在项目公示期内将回执单送到“福建省肿瘤医院网络办”。</w:t>
      </w:r>
    </w:p>
    <w:tbl>
      <w:tblPr>
        <w:tblW w:w="851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39"/>
        <w:gridCol w:w="2022"/>
        <w:gridCol w:w="2022"/>
      </w:tblGrid>
      <w:tr w:rsidR="004D4FDC">
        <w:trPr>
          <w:trHeight w:val="439"/>
          <w:jc w:val="center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报价</w:t>
            </w:r>
          </w:p>
        </w:tc>
      </w:tr>
      <w:tr w:rsidR="004D4FDC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4D4FDC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4D4FDC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4D4FDC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  <w:tr w:rsidR="004D4FDC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4FDC" w:rsidRDefault="00E41548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  <w:lang w:bidi="ar"/>
              </w:rPr>
              <w:t> </w:t>
            </w:r>
          </w:p>
        </w:tc>
      </w:tr>
    </w:tbl>
    <w:p w:rsidR="004D4FDC" w:rsidRDefault="00E41548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:rsidR="004D4FDC" w:rsidRDefault="00E41548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公司名称：</w:t>
      </w:r>
    </w:p>
    <w:p w:rsidR="004D4FDC" w:rsidRDefault="00E41548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联系人：　</w:t>
      </w:r>
    </w:p>
    <w:p w:rsidR="004D4FDC" w:rsidRDefault="00E41548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联系电话：</w:t>
      </w:r>
    </w:p>
    <w:p w:rsidR="004D4FDC" w:rsidRDefault="00E41548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邮箱号：　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　　　　　　　　　　　　　　 </w:t>
      </w:r>
    </w:p>
    <w:p w:rsidR="004D4FDC" w:rsidRDefault="00E41548">
      <w:pPr>
        <w:widowControl/>
        <w:shd w:val="clear" w:color="auto" w:fill="FFFFFF"/>
        <w:spacing w:line="33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公司盖章：</w:t>
      </w:r>
    </w:p>
    <w:p w:rsidR="004D4FDC" w:rsidRDefault="00E41548">
      <w:pPr>
        <w:widowControl/>
        <w:shd w:val="clear" w:color="auto" w:fill="FFFFFF"/>
        <w:spacing w:line="336" w:lineRule="auto"/>
        <w:jc w:val="center"/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:rsidR="004D4FDC" w:rsidRDefault="00E41548"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　　　　　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　　　　 2021年　月　日　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　</w:t>
      </w:r>
    </w:p>
    <w:p w:rsidR="004D4FDC" w:rsidRDefault="004D4FDC">
      <w:pPr>
        <w:pStyle w:val="a0"/>
      </w:pPr>
    </w:p>
    <w:sectPr w:rsidR="004D4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F3FF"/>
    <w:multiLevelType w:val="singleLevel"/>
    <w:tmpl w:val="1381F3F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59969D0"/>
    <w:multiLevelType w:val="hybridMultilevel"/>
    <w:tmpl w:val="7F7060E6"/>
    <w:lvl w:ilvl="0" w:tplc="31B4458C">
      <w:start w:val="9"/>
      <w:numFmt w:val="decimal"/>
      <w:lvlText w:val="（%1）"/>
      <w:lvlJc w:val="left"/>
      <w:pPr>
        <w:ind w:left="720" w:hanging="72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A40287"/>
    <w:multiLevelType w:val="hybridMultilevel"/>
    <w:tmpl w:val="6E507A54"/>
    <w:lvl w:ilvl="0" w:tplc="725EE04C">
      <w:start w:val="9"/>
      <w:numFmt w:val="decimal"/>
      <w:lvlText w:val="%1、"/>
      <w:lvlJc w:val="left"/>
      <w:pPr>
        <w:ind w:left="630" w:hanging="63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0C9760C"/>
    <w:multiLevelType w:val="singleLevel"/>
    <w:tmpl w:val="60C9760C"/>
    <w:lvl w:ilvl="0">
      <w:start w:val="1"/>
      <w:numFmt w:val="decimal"/>
      <w:suff w:val="nothing"/>
      <w:lvlText w:val="%1、"/>
      <w:lvlJc w:val="left"/>
      <w:pPr>
        <w:ind w:left="20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425"/>
    <w:rsid w:val="000572D8"/>
    <w:rsid w:val="000D7673"/>
    <w:rsid w:val="00195425"/>
    <w:rsid w:val="0031261A"/>
    <w:rsid w:val="00453B6F"/>
    <w:rsid w:val="004A7C5D"/>
    <w:rsid w:val="004D4FDC"/>
    <w:rsid w:val="0052420C"/>
    <w:rsid w:val="00595636"/>
    <w:rsid w:val="00694619"/>
    <w:rsid w:val="006E7C5D"/>
    <w:rsid w:val="007C0B44"/>
    <w:rsid w:val="007C6737"/>
    <w:rsid w:val="008931C4"/>
    <w:rsid w:val="009A6529"/>
    <w:rsid w:val="00A21A82"/>
    <w:rsid w:val="00A83CE6"/>
    <w:rsid w:val="00A90EEE"/>
    <w:rsid w:val="00B4091B"/>
    <w:rsid w:val="00B55A17"/>
    <w:rsid w:val="00B6772C"/>
    <w:rsid w:val="00B808FE"/>
    <w:rsid w:val="00C335D1"/>
    <w:rsid w:val="00D16094"/>
    <w:rsid w:val="00D54E5E"/>
    <w:rsid w:val="00DB0323"/>
    <w:rsid w:val="00E41548"/>
    <w:rsid w:val="00FF37DF"/>
    <w:rsid w:val="01A955FD"/>
    <w:rsid w:val="02785B24"/>
    <w:rsid w:val="03434F7A"/>
    <w:rsid w:val="0619505B"/>
    <w:rsid w:val="06332776"/>
    <w:rsid w:val="06683C14"/>
    <w:rsid w:val="107F7E51"/>
    <w:rsid w:val="13DB2657"/>
    <w:rsid w:val="15152A1E"/>
    <w:rsid w:val="1654579D"/>
    <w:rsid w:val="170852D1"/>
    <w:rsid w:val="183C239F"/>
    <w:rsid w:val="1BD910D2"/>
    <w:rsid w:val="1C9B1269"/>
    <w:rsid w:val="1DDB72E6"/>
    <w:rsid w:val="1ED25EE7"/>
    <w:rsid w:val="20397C65"/>
    <w:rsid w:val="23D349BB"/>
    <w:rsid w:val="269C0D1B"/>
    <w:rsid w:val="26ED4C96"/>
    <w:rsid w:val="2974454B"/>
    <w:rsid w:val="2A4D44EE"/>
    <w:rsid w:val="2AC34BBD"/>
    <w:rsid w:val="30565542"/>
    <w:rsid w:val="34B94451"/>
    <w:rsid w:val="353C4F9B"/>
    <w:rsid w:val="365808B7"/>
    <w:rsid w:val="37241EF6"/>
    <w:rsid w:val="3B6005D4"/>
    <w:rsid w:val="3B7601D9"/>
    <w:rsid w:val="413710E5"/>
    <w:rsid w:val="41A13649"/>
    <w:rsid w:val="4F900431"/>
    <w:rsid w:val="4FEA7611"/>
    <w:rsid w:val="51523435"/>
    <w:rsid w:val="52CA34E6"/>
    <w:rsid w:val="5947155E"/>
    <w:rsid w:val="5BD74773"/>
    <w:rsid w:val="5C9B46CA"/>
    <w:rsid w:val="5EC52AE8"/>
    <w:rsid w:val="638B6CAB"/>
    <w:rsid w:val="63EF0493"/>
    <w:rsid w:val="65423B8C"/>
    <w:rsid w:val="679F6FC0"/>
    <w:rsid w:val="6A0B576E"/>
    <w:rsid w:val="6B9C1206"/>
    <w:rsid w:val="6C093FF1"/>
    <w:rsid w:val="6C8E5E75"/>
    <w:rsid w:val="6DF62A0C"/>
    <w:rsid w:val="6FFD6291"/>
    <w:rsid w:val="70413176"/>
    <w:rsid w:val="70470444"/>
    <w:rsid w:val="7301086C"/>
    <w:rsid w:val="734B6224"/>
    <w:rsid w:val="73F97CEE"/>
    <w:rsid w:val="76A3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C33E8"/>
  <w15:docId w15:val="{A22B3682-5D0B-4388-9066-61A5189E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widowControl/>
      <w:spacing w:before="375" w:after="100" w:afterAutospacing="1" w:line="600" w:lineRule="atLeast"/>
      <w:jc w:val="center"/>
      <w:outlineLvl w:val="0"/>
    </w:pPr>
    <w:rPr>
      <w:rFonts w:ascii="宋体" w:eastAsia="宋体" w:hAnsi="宋体" w:cs="宋体"/>
      <w:b/>
      <w:bCs/>
      <w:kern w:val="36"/>
      <w:sz w:val="36"/>
      <w:szCs w:val="36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pPr>
      <w:spacing w:before="161"/>
      <w:ind w:left="532"/>
    </w:pPr>
    <w:rPr>
      <w:rFonts w:ascii="宋体" w:eastAsia="宋体" w:hAnsi="宋体" w:cs="宋体"/>
      <w:sz w:val="24"/>
      <w:szCs w:val="24"/>
      <w:lang w:val="zh-CN" w:bidi="zh-CN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Pr>
      <w:sz w:val="24"/>
    </w:rPr>
  </w:style>
  <w:style w:type="table" w:styleId="a8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C335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13</Pages>
  <Words>1026</Words>
  <Characters>5849</Characters>
  <Application>Microsoft Office Word</Application>
  <DocSecurity>0</DocSecurity>
  <Lines>48</Lines>
  <Paragraphs>13</Paragraphs>
  <ScaleCrop>false</ScaleCrop>
  <Company>M</Company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2021-09-16T03:06:00Z</dcterms:created>
  <dcterms:modified xsi:type="dcterms:W3CDTF">2021-10-09T00:24:00Z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BF40CD03C3BF4FAEACC13E8C1275B7AE</vt:lpwstr>
  </property>
</Properties>
</file>